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tulo1"/>
        <w:spacing w:before="0"/>
        <w:jc w:val="center"/>
        <w:rPr>
          <w:rFonts w:ascii="Garamond" w:eastAsia="Garamond" w:hAnsi="Garamond" w:cs="Garamond"/>
        </w:rPr>
      </w:pPr>
      <w:r>
        <w:rPr>
          <w:rFonts w:ascii="Garamond" w:eastAsia="Garamond" w:hAnsi="Garamond" w:cs="Garamond"/>
          <w:b/>
          <w:bCs/>
          <w:color w:val="000000"/>
          <w:sz w:val="24"/>
          <w:szCs w:val="24"/>
        </w:rPr>
        <w:t xml:space="preserve">FORMULÁRIO DE SUBMISSÃO – DADOS DOS AUTORES, CIÊNCIA ABERTA E IDEIA</w:t>
      </w:r>
    </w:p>
    <w:p>
      <w:pPr>
        <w:spacing w:after="120"/>
        <w:jc w:val="center"/>
        <w:rPr>
          <w:rFonts w:ascii="Garamond" w:eastAsia="Garamond" w:hAnsi="Garamond" w:cs="Garamond"/>
        </w:rPr>
      </w:pPr>
      <w:r>
        <w:rPr>
          <w:rFonts w:ascii="Garamond" w:eastAsia="Garamond" w:hAnsi="Garamond" w:cs="Garamond"/>
          <w:b/>
          <w:bCs/>
          <w:i/>
          <w:iCs/>
          <w:color w:val="595959"/>
          <w:sz w:val="24"/>
          <w:szCs w:val="24"/>
        </w:rPr>
        <w:t xml:space="preserve">SUBMISSION FORM – AUTHOR DATA, OPEN SCIENCE AND IDEIA</w:t>
      </w:r>
    </w:p>
    <w:p>
      <w:pPr>
        <w:spacing w:after="200"/>
        <w:jc w:val="center"/>
        <w:rPr>
          <w:rFonts w:ascii="Garamond" w:eastAsia="Garamond" w:hAnsi="Garamond" w:cs="Garamond"/>
        </w:rPr>
      </w:pPr>
      <w:r>
        <w:rPr>
          <w:rFonts w:ascii="Garamond" w:eastAsia="Garamond" w:hAnsi="Garamond" w:cs="Garamond"/>
          <w:b/>
          <w:bCs/>
          <w:sz w:val="21"/>
          <w:szCs w:val="21"/>
        </w:rPr>
        <w:t xml:space="preserve">Última atualização</w:t>
      </w:r>
      <w:r>
        <w:rPr>
          <w:rFonts w:ascii="Garamond" w:eastAsia="Garamond" w:hAnsi="Garamond" w:cs="Garamond"/>
          <w:sz w:val="21"/>
          <w:szCs w:val="21"/>
        </w:rPr>
        <w:t xml:space="preserve">  /  </w:t>
      </w:r>
      <w:r>
        <w:rPr>
          <w:rFonts w:ascii="Garamond" w:eastAsia="Garamond" w:hAnsi="Garamond" w:cs="Garamond"/>
          <w:b/>
          <w:bCs/>
          <w:i/>
          <w:iCs/>
          <w:color w:val="595959"/>
          <w:sz w:val="21"/>
          <w:szCs w:val="21"/>
        </w:rPr>
        <w:t xml:space="preserve">Last updated</w:t>
      </w:r>
      <w:r>
        <w:rPr>
          <w:rFonts w:ascii="Garamond" w:eastAsia="Garamond" w:hAnsi="Garamond" w:cs="Garamond"/>
          <w:b/>
          <w:bCs/>
          <w:sz w:val="21"/>
          <w:szCs w:val="21"/>
        </w:rPr>
        <w:t xml:space="preserve">: </w:t>
      </w:r>
      <w:r>
        <w:rPr>
          <w:rFonts w:ascii="Garamond" w:eastAsia="Garamond" w:hAnsi="Garamond" w:cs="Garamond"/>
          <w:sz w:val="21"/>
          <w:szCs w:val="21"/>
        </w:rPr>
        <w:t xml:space="preserve">03/10/2026</w:t>
      </w:r>
    </w:p>
    <w:p>
      <w:pPr>
        <w:spacing w:after="0"/>
        <w:jc w:val="both"/>
        <w:rPr>
          <w:rFonts w:ascii="Garamond" w:eastAsia="Garamond" w:hAnsi="Garamond" w:cs="Garamond"/>
        </w:rPr>
      </w:pPr>
      <w:r>
        <w:rPr>
          <w:rFonts w:ascii="Garamond" w:eastAsia="Garamond" w:hAnsi="Garamond" w:cs="Garamond"/>
          <w:sz w:val="21"/>
          <w:szCs w:val="21"/>
        </w:rPr>
        <w:t xml:space="preserve">Este formulário é bilíngue (português/inglês). Há um único conjunto de campos: preencha-os no idioma do seu manuscrito.</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This form is bilingual (Portuguese/English). There is a single set of fields: complete them in the language of your manuscript.</w:t>
      </w:r>
    </w:p>
    <w:p>
      <w:pPr>
        <w:spacing w:after="60"/>
        <w:rPr>
          <w:rFonts w:ascii="Garamond" w:eastAsia="Garamond" w:hAnsi="Garamond" w:cs="Garamond"/>
        </w:rPr>
      </w:pPr>
      <w:r>
        <w:rPr>
          <w:rFonts w:ascii="Garamond" w:eastAsia="Garamond" w:hAnsi="Garamond" w:cs="Garamond"/>
          <w:b/>
          <w:bCs/>
          <w:sz w:val="21"/>
          <w:szCs w:val="21"/>
        </w:rPr>
        <w:t xml:space="preserve">Título do Manuscrito</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Manuscript Title</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tc>
      </w:tr>
    </w:tbl>
    <w:p>
      <w:pPr>
        <w:spacing w:after="140"/>
        <w:rPr>
          <w:rFonts w:ascii="Garamond" w:eastAsia="Garamond" w:hAnsi="Garamond" w:cs="Garamond"/>
        </w:rPr>
      </w:pPr>
    </w:p>
    <w:p>
      <w:pPr>
        <w:spacing w:after="60"/>
        <w:rPr>
          <w:rFonts w:ascii="Garamond" w:eastAsia="Garamond" w:hAnsi="Garamond" w:cs="Garamond"/>
        </w:rPr>
      </w:pPr>
      <w:r>
        <w:rPr>
          <w:rFonts w:ascii="Garamond" w:eastAsia="Garamond" w:hAnsi="Garamond" w:cs="Garamond"/>
          <w:b/>
          <w:bCs/>
          <w:sz w:val="21"/>
          <w:szCs w:val="21"/>
        </w:rPr>
        <w:t xml:space="preserve">Nome do Grupo de Pesquisa (se houver)</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Research Group (if any)</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tc>
      </w:tr>
    </w:tbl>
    <w:p>
      <w:pPr>
        <w:spacing w:after="140"/>
        <w:rPr>
          <w:rFonts w:ascii="Garamond" w:eastAsia="Garamond" w:hAnsi="Garamond" w:cs="Garamond"/>
        </w:rPr>
      </w:pPr>
    </w:p>
    <w:p>
      <w:pPr>
        <w:spacing w:before="200" w:after="60"/>
        <w:rPr>
          <w:rFonts w:ascii="Garamond" w:eastAsia="Garamond" w:hAnsi="Garamond" w:cs="Garamond"/>
        </w:rPr>
      </w:pPr>
      <w:r>
        <w:rPr>
          <w:rFonts w:ascii="Garamond" w:eastAsia="Garamond" w:hAnsi="Garamond" w:cs="Garamond"/>
          <w:b/>
          <w:bCs/>
          <w:color w:val="000000"/>
          <w:sz w:val="21"/>
          <w:szCs w:val="21"/>
        </w:rPr>
        <w:t xml:space="preserve">Eixo ao qual o artigo pertence (escolha um dos 4 itens)</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Thematic axis to which the article belongs (choose one of the 4 items)</w:t>
      </w:r>
    </w:p>
    <w:p>
      <w:pPr>
        <w:spacing w:after="40"/>
        <w:ind w:left="284"/>
        <w:rPr>
          <w:rFonts w:ascii="Garamond" w:eastAsia="Garamond" w:hAnsi="Garamond" w:cs="Garamond"/>
        </w:rPr>
      </w:pPr>
      <w:r>
        <w:rPr>
          <w:rFonts w:ascii="Garamond" w:eastAsia="Garamond" w:hAnsi="Garamond" w:cs="Garamond"/>
          <w:sz w:val="21"/>
          <w:szCs w:val="21"/>
        </w:rPr>
        <w:t xml:space="preserve">(    )  Eixo Temático 1 – Direito, Democracia e Justiça Social  /  </w:t>
      </w:r>
      <w:r>
        <w:rPr>
          <w:rFonts w:ascii="Garamond" w:eastAsia="Garamond" w:hAnsi="Garamond" w:cs="Garamond"/>
          <w:i/>
          <w:iCs/>
          <w:color w:val="595959"/>
          <w:sz w:val="21"/>
          <w:szCs w:val="21"/>
        </w:rPr>
        <w:t xml:space="preserve">Thematic Axis 1 – Law, Democracy and Social Justice</w:t>
      </w:r>
    </w:p>
    <w:p>
      <w:pPr>
        <w:spacing w:after="0"/>
        <w:ind w:left="284"/>
        <w:jc w:val="both"/>
        <w:rPr>
          <w:rFonts w:ascii="Garamond" w:eastAsia="Garamond" w:hAnsi="Garamond" w:cs="Garamond"/>
        </w:rPr>
      </w:pPr>
      <w:r>
        <w:rPr>
          <w:rFonts w:ascii="Garamond" w:eastAsia="Garamond" w:hAnsi="Garamond" w:cs="Garamond"/>
          <w:sz w:val="21"/>
          <w:szCs w:val="21"/>
        </w:rPr>
        <w:t xml:space="preserve">Artigos que abordam justiça social, vulnerabilidades, desigualdade de gênero, encarceramento e saúde pública sob a ótica dos direitos fundamentais e da ética do cuidado. A seleção favorece uma abordagem crítica e humanizadora da atuação do Estado e da sociedade.</w:t>
      </w:r>
    </w:p>
    <w:p>
      <w:pPr>
        <w:spacing w:after="120"/>
        <w:ind w:left="284"/>
        <w:jc w:val="both"/>
        <w:rPr>
          <w:rFonts w:ascii="Garamond" w:eastAsia="Garamond" w:hAnsi="Garamond" w:cs="Garamond"/>
        </w:rPr>
      </w:pPr>
      <w:r>
        <w:rPr>
          <w:rFonts w:ascii="Garamond" w:eastAsia="Garamond" w:hAnsi="Garamond" w:cs="Garamond"/>
          <w:i/>
          <w:iCs/>
          <w:color w:val="595959"/>
          <w:sz w:val="21"/>
          <w:szCs w:val="21"/>
        </w:rPr>
        <w:t xml:space="preserve">Articles addressing social justice, vulnerabilities, gender inequality, incarceration and public health from the perspective of fundamental rights and the ethics of care. Selection favours a critical and humanising approach to the action of the State and of society.</w:t>
      </w:r>
    </w:p>
    <w:p>
      <w:pPr>
        <w:spacing w:after="40"/>
        <w:ind w:left="284"/>
        <w:rPr>
          <w:rFonts w:ascii="Garamond" w:eastAsia="Garamond" w:hAnsi="Garamond" w:cs="Garamond"/>
        </w:rPr>
      </w:pPr>
      <w:r>
        <w:rPr>
          <w:rFonts w:ascii="Garamond" w:eastAsia="Garamond" w:hAnsi="Garamond" w:cs="Garamond"/>
          <w:sz w:val="21"/>
          <w:szCs w:val="21"/>
        </w:rPr>
        <w:t xml:space="preserve">(    )  Eixo Temático 2 – Constituição, Instituições e Democracia no Brasil  /  </w:t>
      </w:r>
      <w:r>
        <w:rPr>
          <w:rFonts w:ascii="Garamond" w:eastAsia="Garamond" w:hAnsi="Garamond" w:cs="Garamond"/>
          <w:i/>
          <w:iCs/>
          <w:color w:val="595959"/>
          <w:sz w:val="21"/>
          <w:szCs w:val="21"/>
        </w:rPr>
        <w:t xml:space="preserve">Thematic Axis 2 – Constitution, Institutions and Democracy in Brazil</w:t>
      </w:r>
    </w:p>
    <w:p>
      <w:pPr>
        <w:spacing w:after="0"/>
        <w:ind w:left="284"/>
        <w:jc w:val="both"/>
        <w:rPr>
          <w:rFonts w:ascii="Garamond" w:eastAsia="Garamond" w:hAnsi="Garamond" w:cs="Garamond"/>
        </w:rPr>
      </w:pPr>
      <w:r>
        <w:rPr>
          <w:rFonts w:ascii="Garamond" w:eastAsia="Garamond" w:hAnsi="Garamond" w:cs="Garamond"/>
          <w:sz w:val="21"/>
          <w:szCs w:val="21"/>
        </w:rPr>
        <w:t xml:space="preserve">Reúne artigos que tratam da atuação das instituições democráticas, do poder Judiciário, da legislação infraconstitucional e constitucional e dos marcos normativos nacionais e internacionais voltados à cidadania, cultura democrática e direitos.</w:t>
      </w:r>
    </w:p>
    <w:p>
      <w:pPr>
        <w:spacing w:after="120"/>
        <w:ind w:left="284"/>
        <w:jc w:val="both"/>
        <w:rPr>
          <w:rFonts w:ascii="Garamond" w:eastAsia="Garamond" w:hAnsi="Garamond" w:cs="Garamond"/>
        </w:rPr>
      </w:pPr>
      <w:r>
        <w:rPr>
          <w:rFonts w:ascii="Garamond" w:eastAsia="Garamond" w:hAnsi="Garamond" w:cs="Garamond"/>
          <w:i/>
          <w:iCs/>
          <w:color w:val="595959"/>
          <w:sz w:val="21"/>
          <w:szCs w:val="21"/>
        </w:rPr>
        <w:t xml:space="preserve">Brings together articles on the action of democratic institutions, the Judiciary, constitutional and ordinary legislation, and the national and international normative frameworks concerning citizenship, democratic culture and rights.</w:t>
      </w:r>
    </w:p>
    <w:p>
      <w:pPr>
        <w:spacing w:after="40"/>
        <w:ind w:left="284"/>
        <w:rPr>
          <w:rFonts w:ascii="Garamond" w:eastAsia="Garamond" w:hAnsi="Garamond" w:cs="Garamond"/>
        </w:rPr>
      </w:pPr>
      <w:r>
        <w:rPr>
          <w:rFonts w:ascii="Garamond" w:eastAsia="Garamond" w:hAnsi="Garamond" w:cs="Garamond"/>
          <w:sz w:val="21"/>
          <w:szCs w:val="21"/>
        </w:rPr>
        <w:t xml:space="preserve">(    )  Eixo Temático 3 – Direito, Tecnologia e Sociedade em Transformação  /  </w:t>
      </w:r>
      <w:r>
        <w:rPr>
          <w:rFonts w:ascii="Garamond" w:eastAsia="Garamond" w:hAnsi="Garamond" w:cs="Garamond"/>
          <w:i/>
          <w:iCs/>
          <w:color w:val="595959"/>
          <w:sz w:val="21"/>
          <w:szCs w:val="21"/>
        </w:rPr>
        <w:t xml:space="preserve">Thematic Axis 3 – Law, Technology and a Society in Transformation</w:t>
      </w:r>
    </w:p>
    <w:p>
      <w:pPr>
        <w:spacing w:after="0"/>
        <w:ind w:left="284"/>
        <w:jc w:val="both"/>
        <w:rPr>
          <w:rFonts w:ascii="Garamond" w:eastAsia="Garamond" w:hAnsi="Garamond" w:cs="Garamond"/>
        </w:rPr>
      </w:pPr>
      <w:r>
        <w:rPr>
          <w:rFonts w:ascii="Garamond" w:eastAsia="Garamond" w:hAnsi="Garamond" w:cs="Garamond"/>
          <w:sz w:val="21"/>
          <w:szCs w:val="21"/>
        </w:rPr>
        <w:t xml:space="preserve">Esta seção reúne artigos que analisam criticamente as interseções entre Direito, tecnologia e transformações sociais contemporâneas. São abordados temas como proteção de dados pessoais, inteligência artificial, racismo algorítmico, publicidade abusiva dirigida a crianças, e os desafios da tutela da personalidade no ciberespaço. A seleção prioriza contribuições que dialogam com os direitos fundamentais e promovem uma reflexão crítica sobre os impactos das tecnologias emergentes nas dinâmicas sociais, jurídicas e institucionais. Valorizam-se abordagens interdisciplinares, críticas e comprometidas com a justiça social e a ética digital.</w:t>
      </w:r>
    </w:p>
    <w:p>
      <w:pPr>
        <w:spacing w:after="120"/>
        <w:ind w:left="284"/>
        <w:jc w:val="both"/>
        <w:rPr>
          <w:rFonts w:ascii="Garamond" w:eastAsia="Garamond" w:hAnsi="Garamond" w:cs="Garamond"/>
        </w:rPr>
      </w:pPr>
      <w:r>
        <w:rPr>
          <w:rFonts w:ascii="Garamond" w:eastAsia="Garamond" w:hAnsi="Garamond" w:cs="Garamond"/>
          <w:i/>
          <w:iCs/>
          <w:color w:val="595959"/>
          <w:sz w:val="21"/>
          <w:szCs w:val="21"/>
        </w:rPr>
        <w:t xml:space="preserve">This section brings together articles that critically analyse the intersections between law, technology and contemporary social transformations. Topics include personal data protection, artificial intelligence, algorithmic racism, abusive advertising directed at children, and the challenges of protecting personality rights in cyberspace. Selection prioritises contributions engaging with fundamental rights and promoting critical reflection on the impacts of emerging technologies on social, legal and institutional dynamics. Interdisciplinary and critical approaches committed to social justice and digital ethics are valued.</w:t>
      </w:r>
    </w:p>
    <w:p>
      <w:pPr>
        <w:spacing w:after="40"/>
        <w:ind w:left="284"/>
        <w:rPr>
          <w:rFonts w:ascii="Garamond" w:eastAsia="Garamond" w:hAnsi="Garamond" w:cs="Garamond"/>
        </w:rPr>
      </w:pPr>
      <w:r>
        <w:rPr>
          <w:rFonts w:ascii="Garamond" w:eastAsia="Garamond" w:hAnsi="Garamond" w:cs="Garamond"/>
          <w:sz w:val="21"/>
          <w:szCs w:val="21"/>
        </w:rPr>
        <w:t xml:space="preserve">(    )  Artigo Internacional  /  </w:t>
      </w:r>
      <w:r>
        <w:rPr>
          <w:rFonts w:ascii="Garamond" w:eastAsia="Garamond" w:hAnsi="Garamond" w:cs="Garamond"/>
          <w:i/>
          <w:iCs/>
          <w:color w:val="595959"/>
          <w:sz w:val="21"/>
          <w:szCs w:val="21"/>
        </w:rPr>
        <w:t xml:space="preserve">International Article</w:t>
      </w:r>
    </w:p>
    <w:p>
      <w:pPr>
        <w:spacing w:after="0"/>
        <w:ind w:left="284"/>
        <w:jc w:val="both"/>
        <w:rPr>
          <w:rFonts w:ascii="Garamond" w:eastAsia="Garamond" w:hAnsi="Garamond" w:cs="Garamond"/>
        </w:rPr>
      </w:pPr>
      <w:r>
        <w:rPr>
          <w:rFonts w:ascii="Garamond" w:eastAsia="Garamond" w:hAnsi="Garamond" w:cs="Garamond"/>
          <w:sz w:val="21"/>
          <w:szCs w:val="21"/>
        </w:rPr>
        <w:t xml:space="preserve">São textos em que pelo menos um(a) autor(a) tem afiliação a instituição estrangeira, declarada no manuscrito e nos metadados da submissão. O tema ou a abordagem internacional, por si só, não caracteriza o Artigo Internacional. A revista publica em português, inglês, espanhol, italiano e francês, o que viabiliza essa seção em diferentes idiomas.</w:t>
      </w:r>
    </w:p>
    <w:p>
      <w:pPr>
        <w:spacing w:after="120"/>
        <w:ind w:left="284"/>
        <w:jc w:val="both"/>
        <w:rPr>
          <w:rFonts w:ascii="Garamond" w:eastAsia="Garamond" w:hAnsi="Garamond" w:cs="Garamond"/>
        </w:rPr>
      </w:pPr>
      <w:r>
        <w:rPr>
          <w:rFonts w:ascii="Garamond" w:eastAsia="Garamond" w:hAnsi="Garamond" w:cs="Garamond"/>
          <w:i/>
          <w:iCs/>
          <w:color w:val="595959"/>
          <w:sz w:val="21"/>
          <w:szCs w:val="21"/>
        </w:rPr>
        <w:t xml:space="preserve">Texts in which at least one author is affiliated with a foreign institution, as declared in the manuscript and in the submission metadata. An international subject or approach does not, by itself, make a text an International Article. The journal publishes in Portuguese, English, Spanish, Italian and French, which makes this section viable in different languages.</w:t>
      </w:r>
    </w:p>
    <w:p>
      <w:pPr>
        <w:spacing w:before="200" w:after="60"/>
        <w:rPr>
          <w:rFonts w:ascii="Garamond" w:eastAsia="Garamond" w:hAnsi="Garamond" w:cs="Garamond"/>
        </w:rPr>
      </w:pPr>
      <w:r>
        <w:rPr>
          <w:rFonts w:ascii="Garamond" w:eastAsia="Garamond" w:hAnsi="Garamond" w:cs="Garamond"/>
          <w:b/>
          <w:bCs/>
          <w:color w:val="000000"/>
          <w:sz w:val="21"/>
          <w:szCs w:val="21"/>
        </w:rPr>
        <w:t xml:space="preserve">Observações</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Notes</w:t>
      </w:r>
    </w:p>
    <w:p>
      <w:pPr>
        <w:spacing w:after="0"/>
        <w:ind w:left="284"/>
        <w:jc w:val="both"/>
        <w:rPr>
          <w:rFonts w:ascii="Garamond" w:eastAsia="Garamond" w:hAnsi="Garamond" w:cs="Garamond"/>
        </w:rPr>
      </w:pPr>
      <w:r>
        <w:rPr>
          <w:rFonts w:ascii="Garamond" w:eastAsia="Garamond" w:hAnsi="Garamond" w:cs="Garamond"/>
          <w:sz w:val="21"/>
          <w:szCs w:val="21"/>
        </w:rPr>
        <w:t xml:space="preserve">Caso aprovado, os Editores-Chefes poderão, a critério editorial, realocar o manuscrito para outro Eixo Temático, quando isso contribuir para melhor aderência ao escopo e à organização editorial da revista.</w:t>
      </w:r>
    </w:p>
    <w:p>
      <w:pPr>
        <w:spacing w:after="120"/>
        <w:ind w:left="284"/>
        <w:jc w:val="both"/>
        <w:rPr>
          <w:rFonts w:ascii="Garamond" w:eastAsia="Garamond" w:hAnsi="Garamond" w:cs="Garamond"/>
        </w:rPr>
      </w:pPr>
      <w:r>
        <w:rPr>
          <w:rFonts w:ascii="Garamond" w:eastAsia="Garamond" w:hAnsi="Garamond" w:cs="Garamond"/>
          <w:i/>
          <w:iCs/>
          <w:color w:val="595959"/>
          <w:sz w:val="21"/>
          <w:szCs w:val="21"/>
        </w:rPr>
        <w:t xml:space="preserve">If approved, the Editors-in-Chief may, at their editorial discretion, reallocate the manuscript to another Thematic Axis where this contributes to better alignment with the journal's scope and editorial organisation.</w:t>
      </w:r>
    </w:p>
    <w:p>
      <w:pPr>
        <w:spacing w:after="0"/>
        <w:ind w:left="284"/>
        <w:rPr>
          <w:rFonts w:ascii="Garamond" w:eastAsia="Garamond" w:hAnsi="Garamond" w:cs="Garamond"/>
        </w:rPr>
      </w:pPr>
      <w:r>
        <w:rPr>
          <w:rFonts w:ascii="Garamond" w:eastAsia="Garamond" w:hAnsi="Garamond" w:cs="Garamond"/>
          <w:sz w:val="21"/>
          <w:szCs w:val="21"/>
        </w:rPr>
        <w:t xml:space="preserve">Para mais informações, consulte as Diretrizes de Submissão: </w:t>
      </w:r>
      <w:hyperlink r:id="rId100">
        <w:r>
          <w:rPr>
            <w:rFonts w:ascii="Garamond" w:eastAsia="Garamond" w:hAnsi="Garamond" w:cs="Garamond"/>
            <w:color w:val="0563C1"/>
            <w:u w:val="single"/>
            <w:sz w:val="21"/>
            <w:szCs w:val="21"/>
          </w:rPr>
          <w:t xml:space="preserve">https://ojs.unifor.br/rpen/about/submissions</w:t>
        </w:r>
      </w:hyperlink>
    </w:p>
    <w:p>
      <w:pPr>
        <w:spacing w:after="160"/>
        <w:ind w:left="284"/>
        <w:rPr>
          <w:rFonts w:ascii="Garamond" w:eastAsia="Garamond" w:hAnsi="Garamond" w:cs="Garamond"/>
        </w:rPr>
      </w:pPr>
      <w:r>
        <w:rPr>
          <w:rFonts w:ascii="Garamond" w:eastAsia="Garamond" w:hAnsi="Garamond" w:cs="Garamond"/>
          <w:i/>
          <w:iCs/>
          <w:color w:val="595959"/>
          <w:sz w:val="21"/>
          <w:szCs w:val="21"/>
        </w:rPr>
        <w:t xml:space="preserve">For further information, see the Submission Guidelines.</w:t>
      </w: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1 – INFORMAÇÃO DOS AUTORES</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1 – AUTHOR INFORMATION</w:t>
      </w:r>
    </w:p>
    <w:p>
      <w:pPr>
        <w:spacing w:after="0"/>
        <w:rPr>
          <w:rFonts w:ascii="Garamond" w:eastAsia="Garamond" w:hAnsi="Garamond" w:cs="Garamond"/>
        </w:rPr>
      </w:pPr>
      <w:r>
        <w:rPr>
          <w:rFonts w:ascii="Garamond" w:eastAsia="Garamond" w:hAnsi="Garamond" w:cs="Garamond"/>
          <w:sz w:val="21"/>
          <w:szCs w:val="21"/>
        </w:rPr>
        <w:t xml:space="preserve">São admitidos até 3 autores por trabalho. Número superior exige justificativa apresentada no ato da submissão, demonstrando a contribuição substantiva de cada autor segundo os critérios do </w:t>
      </w:r>
      <w:hyperlink r:id="rId104">
        <w:r>
          <w:rPr>
            <w:rFonts w:ascii="Garamond" w:eastAsia="Garamond" w:hAnsi="Garamond" w:cs="Garamond"/>
            <w:color w:val="0563C1"/>
            <w:u w:val="single"/>
            <w:sz w:val="21"/>
            <w:szCs w:val="21"/>
          </w:rPr>
          <w:t xml:space="preserve">ICMJE</w:t>
        </w:r>
      </w:hyperlink>
      <w:r>
        <w:rPr>
          <w:rFonts w:ascii="Garamond" w:eastAsia="Garamond" w:hAnsi="Garamond" w:cs="Garamond"/>
          <w:sz w:val="21"/>
          <w:szCs w:val="21"/>
        </w:rPr>
        <w:t xml:space="preserve"> e a taxonomia </w:t>
      </w:r>
      <w:hyperlink r:id="rId101">
        <w:r>
          <w:rPr>
            <w:rFonts w:ascii="Garamond" w:eastAsia="Garamond" w:hAnsi="Garamond" w:cs="Garamond"/>
            <w:color w:val="0563C1"/>
            <w:u w:val="single"/>
            <w:sz w:val="21"/>
            <w:szCs w:val="21"/>
          </w:rPr>
          <w:t xml:space="preserve">CRediT</w:t>
        </w:r>
      </w:hyperlink>
      <w:r>
        <w:rPr>
          <w:rFonts w:ascii="Garamond" w:eastAsia="Garamond" w:hAnsi="Garamond" w:cs="Garamond"/>
          <w:sz w:val="21"/>
          <w:szCs w:val="21"/>
        </w:rPr>
        <w:t xml:space="preserve">, sujeita à apreciação da editoria na triagem.</w:t>
      </w:r>
    </w:p>
    <w:p>
      <w:pPr>
        <w:spacing w:after="180"/>
        <w:rPr>
          <w:rFonts w:ascii="Garamond" w:eastAsia="Garamond" w:hAnsi="Garamond" w:cs="Garamond"/>
        </w:rPr>
      </w:pPr>
      <w:r>
        <w:rPr>
          <w:rFonts w:ascii="Garamond" w:eastAsia="Garamond" w:hAnsi="Garamond" w:cs="Garamond"/>
          <w:i/>
          <w:iCs/>
          <w:color w:val="595959"/>
          <w:sz w:val="21"/>
          <w:szCs w:val="21"/>
        </w:rPr>
        <w:t xml:space="preserve">Up to 3 authors are accepted per work. A greater number requires a justification presented at the time of submission, demonstrating the substantive contribution of each author according to the ICMJE criteria and the CRediT taxonomy, subject to editorial assessment at the screening stage.</w:t>
      </w:r>
    </w:p>
    <w:p>
      <w:pPr>
        <w:spacing w:before="200" w:after="60"/>
        <w:rPr>
          <w:rFonts w:ascii="Garamond" w:eastAsia="Garamond" w:hAnsi="Garamond" w:cs="Garamond"/>
        </w:rPr>
      </w:pPr>
      <w:r>
        <w:rPr>
          <w:rFonts w:ascii="Garamond" w:eastAsia="Garamond" w:hAnsi="Garamond" w:cs="Garamond"/>
          <w:b/>
          <w:bCs/>
          <w:color w:val="000000"/>
          <w:sz w:val="21"/>
          <w:szCs w:val="21"/>
        </w:rPr>
        <w:t xml:space="preserve">SOBRE O AUTOR 1</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ABOUT AUTHOR 1</w:t>
      </w:r>
    </w:p>
    <w:p>
      <w:pPr>
        <w:spacing w:after="0"/>
        <w:jc w:val="both"/>
        <w:rPr>
          <w:rFonts w:ascii="Garamond" w:eastAsia="Garamond" w:hAnsi="Garamond" w:cs="Garamond"/>
        </w:rPr>
      </w:pPr>
      <w:r>
        <w:rPr>
          <w:rFonts w:ascii="Garamond" w:eastAsia="Garamond" w:hAnsi="Garamond" w:cs="Garamond"/>
          <w:sz w:val="21"/>
          <w:szCs w:val="21"/>
        </w:rPr>
        <w:t xml:space="preserve">Para cada autor(a) ou coautor(a), devem ser fornecidas as seguintes informações, que serão utilizadas na publicação e no cadastro do sistema:</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For each author or co-author, the following information must be provided, to be used in the publication and in the system registration:</w:t>
      </w:r>
    </w:p>
    <w:p>
      <w:pPr>
        <w:spacing w:after="40"/>
        <w:ind w:left="284"/>
        <w:rPr>
          <w:rFonts w:ascii="Garamond" w:eastAsia="Garamond" w:hAnsi="Garamond" w:cs="Garamond"/>
        </w:rPr>
      </w:pPr>
      <w:r>
        <w:rPr>
          <w:rFonts w:ascii="Garamond" w:eastAsia="Garamond" w:hAnsi="Garamond" w:cs="Garamond"/>
          <w:sz w:val="21"/>
          <w:szCs w:val="21"/>
        </w:rPr>
        <w:t xml:space="preserve">•  Nome completo: com apenas as iniciais de cada nome em maiúscula.  /  </w:t>
      </w:r>
      <w:r>
        <w:rPr>
          <w:rFonts w:ascii="Garamond" w:eastAsia="Garamond" w:hAnsi="Garamond" w:cs="Garamond"/>
          <w:i/>
          <w:iCs/>
          <w:color w:val="595959"/>
          <w:sz w:val="21"/>
          <w:szCs w:val="21"/>
        </w:rPr>
        <w:t xml:space="preserve">Full name: with only the initial of each name capitalised.</w:t>
      </w:r>
    </w:p>
    <w:p>
      <w:pPr>
        <w:spacing w:after="40"/>
        <w:ind w:left="284"/>
        <w:rPr>
          <w:rFonts w:ascii="Garamond" w:eastAsia="Garamond" w:hAnsi="Garamond" w:cs="Garamond"/>
        </w:rPr>
      </w:pPr>
      <w:r>
        <w:rPr>
          <w:rFonts w:ascii="Garamond" w:eastAsia="Garamond" w:hAnsi="Garamond" w:cs="Garamond"/>
          <w:sz w:val="21"/>
          <w:szCs w:val="21"/>
        </w:rPr>
        <w:t xml:space="preserve">•  Telefone com WhatsApp (uso exclusivo da editoria; não é publicado).  /  </w:t>
      </w:r>
      <w:r>
        <w:rPr>
          <w:rFonts w:ascii="Garamond" w:eastAsia="Garamond" w:hAnsi="Garamond" w:cs="Garamond"/>
          <w:i/>
          <w:iCs/>
          <w:color w:val="595959"/>
          <w:sz w:val="21"/>
          <w:szCs w:val="21"/>
        </w:rPr>
        <w:t xml:space="preserve">Phone number with WhatsApp (for editorial use only; not published).</w:t>
      </w:r>
    </w:p>
    <w:p>
      <w:pPr>
        <w:spacing w:after="40"/>
        <w:ind w:left="284"/>
        <w:rPr>
          <w:rFonts w:ascii="Garamond" w:eastAsia="Garamond" w:hAnsi="Garamond" w:cs="Garamond"/>
        </w:rPr>
      </w:pPr>
      <w:r>
        <w:rPr>
          <w:rFonts w:ascii="Garamond" w:eastAsia="Garamond" w:hAnsi="Garamond" w:cs="Garamond"/>
          <w:sz w:val="21"/>
          <w:szCs w:val="21"/>
        </w:rPr>
        <w:t xml:space="preserve">•  E-mail institucional ou pessoal de contato.  /  </w:t>
      </w:r>
      <w:r>
        <w:rPr>
          <w:rFonts w:ascii="Garamond" w:eastAsia="Garamond" w:hAnsi="Garamond" w:cs="Garamond"/>
          <w:i/>
          <w:iCs/>
          <w:color w:val="595959"/>
          <w:sz w:val="21"/>
          <w:szCs w:val="21"/>
        </w:rPr>
        <w:t xml:space="preserve">Institutional or personal contact e-mail.</w:t>
      </w:r>
    </w:p>
    <w:p>
      <w:pPr>
        <w:spacing w:after="40"/>
        <w:ind w:left="284"/>
        <w:rPr>
          <w:rFonts w:ascii="Garamond" w:eastAsia="Garamond" w:hAnsi="Garamond" w:cs="Garamond"/>
        </w:rPr>
      </w:pPr>
      <w:r>
        <w:rPr>
          <w:rFonts w:ascii="Garamond" w:eastAsia="Garamond" w:hAnsi="Garamond" w:cs="Garamond"/>
          <w:sz w:val="21"/>
          <w:szCs w:val="21"/>
        </w:rPr>
        <w:t xml:space="preserve">•  Identificador ORCID: no formato de URL completa (ex.: </w:t>
      </w:r>
      <w:hyperlink r:id="rId106">
        <w:r>
          <w:rPr>
            <w:rFonts w:ascii="Garamond" w:eastAsia="Garamond" w:hAnsi="Garamond" w:cs="Garamond"/>
            <w:color w:val="0563C1"/>
            <w:u w:val="single"/>
            <w:sz w:val="21"/>
            <w:szCs w:val="21"/>
          </w:rPr>
          <w:t xml:space="preserve">https://orcid.org/0000-0000-0000-0000</w:t>
        </w:r>
      </w:hyperlink>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ORCID iD: as a full URL.</w:t>
      </w:r>
    </w:p>
    <w:p>
      <w:pPr>
        <w:spacing w:after="40"/>
        <w:ind w:left="284"/>
        <w:rPr>
          <w:rFonts w:ascii="Garamond" w:eastAsia="Garamond" w:hAnsi="Garamond" w:cs="Garamond"/>
        </w:rPr>
      </w:pPr>
      <w:r>
        <w:rPr>
          <w:rFonts w:ascii="Garamond" w:eastAsia="Garamond" w:hAnsi="Garamond" w:cs="Garamond"/>
          <w:sz w:val="21"/>
          <w:szCs w:val="21"/>
        </w:rPr>
        <w:t xml:space="preserve">•  Link para o </w:t>
      </w:r>
      <w:hyperlink r:id="rId107">
        <w:r>
          <w:rPr>
            <w:rFonts w:ascii="Garamond" w:eastAsia="Garamond" w:hAnsi="Garamond" w:cs="Garamond"/>
            <w:color w:val="0563C1"/>
            <w:u w:val="single"/>
            <w:sz w:val="21"/>
            <w:szCs w:val="21"/>
          </w:rPr>
          <w:t xml:space="preserve">Currículo Lattes</w:t>
        </w:r>
      </w:hyperlink>
      <w:r>
        <w:rPr>
          <w:rFonts w:ascii="Garamond" w:eastAsia="Garamond" w:hAnsi="Garamond" w:cs="Garamond"/>
          <w:sz w:val="21"/>
          <w:szCs w:val="21"/>
        </w:rPr>
        <w:t xml:space="preserve">: obrigatório para autores vinculados a instituições brasileiras.  /  </w:t>
      </w:r>
      <w:r>
        <w:rPr>
          <w:rFonts w:ascii="Garamond" w:eastAsia="Garamond" w:hAnsi="Garamond" w:cs="Garamond"/>
          <w:i/>
          <w:iCs/>
          <w:color w:val="595959"/>
          <w:sz w:val="21"/>
          <w:szCs w:val="21"/>
        </w:rPr>
        <w:t xml:space="preserve">Lattes CV link: mandatory for authors affiliated with Brazilian institutions.</w:t>
      </w:r>
    </w:p>
    <w:p>
      <w:pPr>
        <w:spacing w:after="40"/>
        <w:ind w:left="284"/>
        <w:rPr>
          <w:rFonts w:ascii="Garamond" w:eastAsia="Garamond" w:hAnsi="Garamond" w:cs="Garamond"/>
        </w:rPr>
      </w:pPr>
      <w:r>
        <w:rPr>
          <w:rFonts w:ascii="Garamond" w:eastAsia="Garamond" w:hAnsi="Garamond" w:cs="Garamond"/>
          <w:sz w:val="21"/>
          <w:szCs w:val="21"/>
        </w:rPr>
        <w:t xml:space="preserve">•  Afiliação institucional: nome por extenso, sem abreviações, seguido da cidade, sigla da unidade federativa (ou província, no caso de Estados federais) em maiúsculas e país entre parênteses.  /  </w:t>
      </w:r>
      <w:r>
        <w:rPr>
          <w:rFonts w:ascii="Garamond" w:eastAsia="Garamond" w:hAnsi="Garamond" w:cs="Garamond"/>
          <w:i/>
          <w:iCs/>
          <w:color w:val="595959"/>
          <w:sz w:val="21"/>
          <w:szCs w:val="21"/>
        </w:rPr>
        <w:t xml:space="preserve">Institutional affiliation: full name, unabbreviated, followed by city, state/province abbreviation in capitals and country in brackets.</w:t>
      </w:r>
    </w:p>
    <w:p>
      <w:pPr>
        <w:spacing w:after="60"/>
        <w:ind w:left="568"/>
        <w:rPr>
          <w:rFonts w:ascii="Garamond" w:eastAsia="Garamond" w:hAnsi="Garamond" w:cs="Garamond"/>
        </w:rPr>
      </w:pPr>
      <w:r>
        <w:rPr>
          <w:rFonts w:ascii="Garamond" w:eastAsia="Garamond" w:hAnsi="Garamond" w:cs="Garamond"/>
          <w:i/>
          <w:iCs/>
          <w:sz w:val="21"/>
          <w:szCs w:val="21"/>
        </w:rPr>
        <w:t xml:space="preserve">Exemplo / Example: Universidade Federal do Paraná (Curitiba, PR, Brasil).</w:t>
      </w:r>
    </w:p>
    <w:p>
      <w:pPr>
        <w:spacing w:after="40"/>
        <w:ind w:left="284"/>
        <w:rPr>
          <w:rFonts w:ascii="Garamond" w:eastAsia="Garamond" w:hAnsi="Garamond" w:cs="Garamond"/>
        </w:rPr>
      </w:pPr>
      <w:r>
        <w:rPr>
          <w:rFonts w:ascii="Garamond" w:eastAsia="Garamond" w:hAnsi="Garamond" w:cs="Garamond"/>
          <w:sz w:val="21"/>
          <w:szCs w:val="21"/>
        </w:rPr>
        <w:t xml:space="preserve">•  Mini-biografia: breve apresentação que deve iniciar com o cargo ocupado e a instituição de vínculo, seguida de cidade, estado e país. Em seguida, devem constar as principais titulações acadêmicas (da mais alta para a mais baixa), bem como eventuais participações em associações científicas, áreas de atuação profissional ou outras informações relevantes.  /  </w:t>
      </w:r>
      <w:r>
        <w:rPr>
          <w:rFonts w:ascii="Garamond" w:eastAsia="Garamond" w:hAnsi="Garamond" w:cs="Garamond"/>
          <w:i/>
          <w:iCs/>
          <w:color w:val="595959"/>
          <w:sz w:val="21"/>
          <w:szCs w:val="21"/>
        </w:rPr>
        <w:t xml:space="preserve">Short bio: a brief presentation beginning with the position held and the institution of affiliation, followed by city, state and country. Then the main academic degrees (highest to lowest), as well as any memberships in scientific associations, areas of professional practice or other relevant information.</w:t>
      </w:r>
    </w:p>
    <w:p>
      <w:pPr>
        <w:spacing w:after="160"/>
        <w:ind w:left="568"/>
        <w:rPr>
          <w:rFonts w:ascii="Garamond" w:eastAsia="Garamond" w:hAnsi="Garamond" w:cs="Garamond"/>
        </w:rPr>
      </w:pPr>
      <w:r>
        <w:rPr>
          <w:rFonts w:ascii="Garamond" w:eastAsia="Garamond" w:hAnsi="Garamond" w:cs="Garamond"/>
          <w:i/>
          <w:iCs/>
          <w:sz w:val="21"/>
          <w:szCs w:val="21"/>
        </w:rPr>
        <w:t xml:space="preserve">Exemplo / Example: Professor de Direito Constitucional da Universidade Federal do Paraná (Curitiba, PR, Brasil). Doutor e Mestre em Direito pela Universidade Federal do Paraná. Membro do Foro Iberoamericano de Derecho Administrativo. Advogado.</w:t>
      </w:r>
    </w:p>
    <w:p>
      <w:pPr>
        <w:spacing w:before="200" w:after="60"/>
        <w:rPr>
          <w:rFonts w:ascii="Garamond" w:eastAsia="Garamond" w:hAnsi="Garamond" w:cs="Garamond"/>
        </w:rPr>
      </w:pPr>
      <w:r>
        <w:rPr>
          <w:rFonts w:ascii="Garamond" w:eastAsia="Garamond" w:hAnsi="Garamond" w:cs="Garamond"/>
          <w:b/>
          <w:bCs/>
          <w:color w:val="000000"/>
          <w:sz w:val="21"/>
          <w:szCs w:val="21"/>
        </w:rPr>
        <w:t xml:space="preserve">Autodeclaração de Gênero</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Self-declared Gender</w:t>
      </w:r>
    </w:p>
    <w:p>
      <w:pPr>
        <w:spacing w:after="40"/>
        <w:ind w:left="284"/>
        <w:rPr>
          <w:rFonts w:ascii="Garamond" w:eastAsia="Garamond" w:hAnsi="Garamond" w:cs="Garamond"/>
        </w:rPr>
      </w:pPr>
      <w:r>
        <w:rPr>
          <w:rFonts w:ascii="Garamond" w:eastAsia="Garamond" w:hAnsi="Garamond" w:cs="Garamond"/>
          <w:sz w:val="21"/>
          <w:szCs w:val="21"/>
        </w:rPr>
        <w:t xml:space="preserve">[    ]  Feminino  /  </w:t>
      </w:r>
      <w:r>
        <w:rPr>
          <w:rFonts w:ascii="Garamond" w:eastAsia="Garamond" w:hAnsi="Garamond" w:cs="Garamond"/>
          <w:i/>
          <w:iCs/>
          <w:color w:val="595959"/>
          <w:sz w:val="21"/>
          <w:szCs w:val="21"/>
        </w:rPr>
        <w:t xml:space="preserve">Female</w:t>
      </w:r>
    </w:p>
    <w:p>
      <w:pPr>
        <w:spacing w:after="40"/>
        <w:ind w:left="284"/>
        <w:rPr>
          <w:rFonts w:ascii="Garamond" w:eastAsia="Garamond" w:hAnsi="Garamond" w:cs="Garamond"/>
        </w:rPr>
      </w:pPr>
      <w:r>
        <w:rPr>
          <w:rFonts w:ascii="Garamond" w:eastAsia="Garamond" w:hAnsi="Garamond" w:cs="Garamond"/>
          <w:sz w:val="21"/>
          <w:szCs w:val="21"/>
        </w:rPr>
        <w:t xml:space="preserve">[    ]  Masculino  /  </w:t>
      </w:r>
      <w:r>
        <w:rPr>
          <w:rFonts w:ascii="Garamond" w:eastAsia="Garamond" w:hAnsi="Garamond" w:cs="Garamond"/>
          <w:i/>
          <w:iCs/>
          <w:color w:val="595959"/>
          <w:sz w:val="21"/>
          <w:szCs w:val="21"/>
        </w:rPr>
        <w:t xml:space="preserve">Male</w:t>
      </w:r>
    </w:p>
    <w:p>
      <w:pPr>
        <w:spacing w:after="40"/>
        <w:ind w:left="284"/>
        <w:rPr>
          <w:rFonts w:ascii="Garamond" w:eastAsia="Garamond" w:hAnsi="Garamond" w:cs="Garamond"/>
        </w:rPr>
      </w:pPr>
      <w:r>
        <w:rPr>
          <w:rFonts w:ascii="Garamond" w:eastAsia="Garamond" w:hAnsi="Garamond" w:cs="Garamond"/>
          <w:sz w:val="21"/>
          <w:szCs w:val="21"/>
        </w:rPr>
        <w:t xml:space="preserve">[    ]  Não binário  /  </w:t>
      </w:r>
      <w:r>
        <w:rPr>
          <w:rFonts w:ascii="Garamond" w:eastAsia="Garamond" w:hAnsi="Garamond" w:cs="Garamond"/>
          <w:i/>
          <w:iCs/>
          <w:color w:val="595959"/>
          <w:sz w:val="21"/>
          <w:szCs w:val="21"/>
        </w:rPr>
        <w:t xml:space="preserve">Non-binary</w:t>
      </w:r>
    </w:p>
    <w:p>
      <w:pPr>
        <w:spacing w:after="40"/>
        <w:ind w:left="284"/>
        <w:rPr>
          <w:rFonts w:ascii="Garamond" w:eastAsia="Garamond" w:hAnsi="Garamond" w:cs="Garamond"/>
        </w:rPr>
      </w:pPr>
      <w:r>
        <w:rPr>
          <w:rFonts w:ascii="Garamond" w:eastAsia="Garamond" w:hAnsi="Garamond" w:cs="Garamond"/>
          <w:sz w:val="21"/>
          <w:szCs w:val="21"/>
        </w:rPr>
        <w:t xml:space="preserve">[    ]  Prefiro não responder  /  </w:t>
      </w:r>
      <w:r>
        <w:rPr>
          <w:rFonts w:ascii="Garamond" w:eastAsia="Garamond" w:hAnsi="Garamond" w:cs="Garamond"/>
          <w:i/>
          <w:iCs/>
          <w:color w:val="595959"/>
          <w:sz w:val="21"/>
          <w:szCs w:val="21"/>
        </w:rPr>
        <w:t xml:space="preserve">Prefer not to answer</w:t>
      </w:r>
    </w:p>
    <w:p>
      <w:pPr>
        <w:spacing w:after="40"/>
        <w:ind w:left="284"/>
        <w:rPr>
          <w:rFonts w:ascii="Garamond" w:eastAsia="Garamond" w:hAnsi="Garamond" w:cs="Garamond"/>
        </w:rPr>
      </w:pPr>
      <w:r>
        <w:rPr>
          <w:rFonts w:ascii="Garamond" w:eastAsia="Garamond" w:hAnsi="Garamond" w:cs="Garamond"/>
          <w:sz w:val="21"/>
          <w:szCs w:val="21"/>
        </w:rPr>
        <w:t xml:space="preserve">[    ]  Outro / Other:</w:t>
      </w:r>
    </w:p>
    <w:p>
      <w:pPr>
        <w:spacing w:before="200" w:after="60"/>
        <w:rPr>
          <w:rFonts w:ascii="Garamond" w:eastAsia="Garamond" w:hAnsi="Garamond" w:cs="Garamond"/>
        </w:rPr>
      </w:pPr>
      <w:r>
        <w:rPr>
          <w:rFonts w:ascii="Garamond" w:eastAsia="Garamond" w:hAnsi="Garamond" w:cs="Garamond"/>
          <w:b/>
          <w:bCs/>
          <w:color w:val="000000"/>
          <w:sz w:val="21"/>
          <w:szCs w:val="21"/>
        </w:rPr>
        <w:t xml:space="preserve">Autodeclaração de Raça/Cor (IBGE)</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Self-declared Race/Colour (IBGE)</w:t>
      </w:r>
    </w:p>
    <w:p>
      <w:pPr>
        <w:spacing w:after="40"/>
        <w:ind w:left="284"/>
        <w:rPr>
          <w:rFonts w:ascii="Garamond" w:eastAsia="Garamond" w:hAnsi="Garamond" w:cs="Garamond"/>
        </w:rPr>
      </w:pPr>
      <w:r>
        <w:rPr>
          <w:rFonts w:ascii="Garamond" w:eastAsia="Garamond" w:hAnsi="Garamond" w:cs="Garamond"/>
          <w:sz w:val="21"/>
          <w:szCs w:val="21"/>
        </w:rPr>
        <w:t xml:space="preserve">[    ]  Branca  /  </w:t>
      </w:r>
      <w:r>
        <w:rPr>
          <w:rFonts w:ascii="Garamond" w:eastAsia="Garamond" w:hAnsi="Garamond" w:cs="Garamond"/>
          <w:i/>
          <w:iCs/>
          <w:color w:val="595959"/>
          <w:sz w:val="21"/>
          <w:szCs w:val="21"/>
        </w:rPr>
        <w:t xml:space="preserve">White</w:t>
      </w:r>
    </w:p>
    <w:p>
      <w:pPr>
        <w:spacing w:after="40"/>
        <w:ind w:left="284"/>
        <w:rPr>
          <w:rFonts w:ascii="Garamond" w:eastAsia="Garamond" w:hAnsi="Garamond" w:cs="Garamond"/>
        </w:rPr>
      </w:pPr>
      <w:r>
        <w:rPr>
          <w:rFonts w:ascii="Garamond" w:eastAsia="Garamond" w:hAnsi="Garamond" w:cs="Garamond"/>
          <w:sz w:val="21"/>
          <w:szCs w:val="21"/>
        </w:rPr>
        <w:t xml:space="preserve">[    ]  Preta  /  </w:t>
      </w:r>
      <w:r>
        <w:rPr>
          <w:rFonts w:ascii="Garamond" w:eastAsia="Garamond" w:hAnsi="Garamond" w:cs="Garamond"/>
          <w:i/>
          <w:iCs/>
          <w:color w:val="595959"/>
          <w:sz w:val="21"/>
          <w:szCs w:val="21"/>
        </w:rPr>
        <w:t xml:space="preserve">Black</w:t>
      </w:r>
    </w:p>
    <w:p>
      <w:pPr>
        <w:spacing w:after="40"/>
        <w:ind w:left="284"/>
        <w:rPr>
          <w:rFonts w:ascii="Garamond" w:eastAsia="Garamond" w:hAnsi="Garamond" w:cs="Garamond"/>
        </w:rPr>
      </w:pPr>
      <w:r>
        <w:rPr>
          <w:rFonts w:ascii="Garamond" w:eastAsia="Garamond" w:hAnsi="Garamond" w:cs="Garamond"/>
          <w:sz w:val="21"/>
          <w:szCs w:val="21"/>
        </w:rPr>
        <w:t xml:space="preserve">[    ]  Parda  /  </w:t>
      </w:r>
      <w:r>
        <w:rPr>
          <w:rFonts w:ascii="Garamond" w:eastAsia="Garamond" w:hAnsi="Garamond" w:cs="Garamond"/>
          <w:i/>
          <w:iCs/>
          <w:color w:val="595959"/>
          <w:sz w:val="21"/>
          <w:szCs w:val="21"/>
        </w:rPr>
        <w:t xml:space="preserve">Brown / Mixed</w:t>
      </w:r>
    </w:p>
    <w:p>
      <w:pPr>
        <w:spacing w:after="40"/>
        <w:ind w:left="284"/>
        <w:rPr>
          <w:rFonts w:ascii="Garamond" w:eastAsia="Garamond" w:hAnsi="Garamond" w:cs="Garamond"/>
        </w:rPr>
      </w:pPr>
      <w:r>
        <w:rPr>
          <w:rFonts w:ascii="Garamond" w:eastAsia="Garamond" w:hAnsi="Garamond" w:cs="Garamond"/>
          <w:sz w:val="21"/>
          <w:szCs w:val="21"/>
        </w:rPr>
        <w:t xml:space="preserve">[    ]  Amarela  /  </w:t>
      </w:r>
      <w:r>
        <w:rPr>
          <w:rFonts w:ascii="Garamond" w:eastAsia="Garamond" w:hAnsi="Garamond" w:cs="Garamond"/>
          <w:i/>
          <w:iCs/>
          <w:color w:val="595959"/>
          <w:sz w:val="21"/>
          <w:szCs w:val="21"/>
        </w:rPr>
        <w:t xml:space="preserve">Yellow / East Asian</w:t>
      </w:r>
    </w:p>
    <w:p>
      <w:pPr>
        <w:spacing w:after="40"/>
        <w:ind w:left="284"/>
        <w:rPr>
          <w:rFonts w:ascii="Garamond" w:eastAsia="Garamond" w:hAnsi="Garamond" w:cs="Garamond"/>
        </w:rPr>
      </w:pPr>
      <w:r>
        <w:rPr>
          <w:rFonts w:ascii="Garamond" w:eastAsia="Garamond" w:hAnsi="Garamond" w:cs="Garamond"/>
          <w:sz w:val="21"/>
          <w:szCs w:val="21"/>
        </w:rPr>
        <w:t xml:space="preserve">[    ]  Indígena  /  </w:t>
      </w:r>
      <w:r>
        <w:rPr>
          <w:rFonts w:ascii="Garamond" w:eastAsia="Garamond" w:hAnsi="Garamond" w:cs="Garamond"/>
          <w:i/>
          <w:iCs/>
          <w:color w:val="595959"/>
          <w:sz w:val="21"/>
          <w:szCs w:val="21"/>
        </w:rPr>
        <w:t xml:space="preserve">Indigenous</w:t>
      </w:r>
    </w:p>
    <w:p>
      <w:pPr>
        <w:spacing w:after="40"/>
        <w:ind w:left="284"/>
        <w:rPr>
          <w:rFonts w:ascii="Garamond" w:eastAsia="Garamond" w:hAnsi="Garamond" w:cs="Garamond"/>
        </w:rPr>
      </w:pPr>
      <w:r>
        <w:rPr>
          <w:rFonts w:ascii="Garamond" w:eastAsia="Garamond" w:hAnsi="Garamond" w:cs="Garamond"/>
          <w:sz w:val="21"/>
          <w:szCs w:val="21"/>
        </w:rPr>
        <w:t xml:space="preserve">[    ]  Prefiro não responder  /  </w:t>
      </w:r>
      <w:r>
        <w:rPr>
          <w:rFonts w:ascii="Garamond" w:eastAsia="Garamond" w:hAnsi="Garamond" w:cs="Garamond"/>
          <w:i/>
          <w:iCs/>
          <w:color w:val="595959"/>
          <w:sz w:val="21"/>
          <w:szCs w:val="21"/>
        </w:rPr>
        <w:t xml:space="preserve">Prefer not to answer</w:t>
      </w:r>
    </w:p>
    <w:p>
      <w:pPr>
        <w:spacing w:after="40"/>
        <w:ind w:left="284"/>
        <w:rPr>
          <w:rFonts w:ascii="Garamond" w:eastAsia="Garamond" w:hAnsi="Garamond" w:cs="Garamond"/>
        </w:rPr>
      </w:pPr>
      <w:r>
        <w:rPr>
          <w:rFonts w:ascii="Garamond" w:eastAsia="Garamond" w:hAnsi="Garamond" w:cs="Garamond"/>
          <w:sz w:val="21"/>
          <w:szCs w:val="21"/>
        </w:rPr>
        <w:t xml:space="preserve">[    ]  Outro / Other:</w:t>
      </w:r>
    </w:p>
    <w:p>
      <w:pPr>
        <w:spacing w:after="0"/>
        <w:jc w:val="both"/>
        <w:rPr>
          <w:rFonts w:ascii="Garamond" w:eastAsia="Garamond" w:hAnsi="Garamond" w:cs="Garamond"/>
        </w:rPr>
      </w:pPr>
      <w:r>
        <w:rPr>
          <w:rFonts w:ascii="Garamond" w:eastAsia="Garamond" w:hAnsi="Garamond" w:cs="Garamond"/>
          <w:sz w:val="21"/>
          <w:szCs w:val="21"/>
        </w:rPr>
        <w:t xml:space="preserve">Obs.: Essas informações são coletadas exclusivamente para fins de monitoramento e aprimoramento das políticas de diversidade, equidade, inclusão e acessibilidade da Revista Pensar, sendo utilizadas de forma agregada e anônima.</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Note: This information is collected exclusively for monitoring and improving Revista Pensar's diversity, equity, inclusion and accessibility policies, and is used in aggregated and anonymous form.</w:t>
      </w:r>
    </w:p>
    <w:p>
      <w:pPr>
        <w:spacing w:after="120"/>
        <w:ind w:left="284"/>
        <w:rPr>
          <w:rFonts w:ascii="Garamond" w:eastAsia="Garamond" w:hAnsi="Garamond" w:cs="Garamond"/>
        </w:rPr>
      </w:pPr>
      <w:r>
        <w:rPr>
          <w:rFonts w:ascii="Garamond" w:eastAsia="Garamond" w:hAnsi="Garamond" w:cs="Garamond"/>
          <w:sz w:val="21"/>
          <w:szCs w:val="21"/>
        </w:rPr>
        <w:t xml:space="preserve">[    ]  Consinto com o tratamento das autodeclarações acima para a finalidade indicada. Sei que a resposta é facultativa, que esses dados não são publicados e que posso revogar o consentimento a qualquer momento.  /  </w:t>
      </w:r>
      <w:r>
        <w:rPr>
          <w:rFonts w:ascii="Garamond" w:eastAsia="Garamond" w:hAnsi="Garamond" w:cs="Garamond"/>
          <w:i/>
          <w:iCs/>
          <w:color w:val="595959"/>
          <w:sz w:val="21"/>
          <w:szCs w:val="21"/>
        </w:rPr>
        <w:t xml:space="preserve">I consent to the processing of the self-declarations above for the stated purpose. I understand that answering is optional, that these data are not published and that I may withdraw consent at any time.</w:t>
      </w:r>
    </w:p>
    <w:p>
      <w:pPr>
        <w:spacing w:before="200" w:after="60"/>
        <w:rPr>
          <w:rFonts w:ascii="Garamond" w:eastAsia="Garamond" w:hAnsi="Garamond" w:cs="Garamond"/>
        </w:rPr>
      </w:pPr>
      <w:r>
        <w:rPr>
          <w:rFonts w:ascii="Garamond" w:eastAsia="Garamond" w:hAnsi="Garamond" w:cs="Garamond"/>
          <w:b/>
          <w:bCs/>
          <w:color w:val="000000"/>
          <w:sz w:val="21"/>
          <w:szCs w:val="21"/>
        </w:rPr>
        <w:t xml:space="preserve">SOBRE O AUTOR 2 (se houver)</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ABOUT AUTHOR 2 (if any)</w:t>
      </w:r>
    </w:p>
    <w:p>
      <w:pPr>
        <w:spacing w:after="0"/>
        <w:jc w:val="both"/>
        <w:rPr>
          <w:rFonts w:ascii="Garamond" w:eastAsia="Garamond" w:hAnsi="Garamond" w:cs="Garamond"/>
        </w:rPr>
      </w:pPr>
      <w:r>
        <w:rPr>
          <w:rFonts w:ascii="Garamond" w:eastAsia="Garamond" w:hAnsi="Garamond" w:cs="Garamond"/>
          <w:sz w:val="21"/>
          <w:szCs w:val="21"/>
        </w:rPr>
        <w:t xml:space="preserve">Repetir as mesmas informações acima para cada coautor(a), incluindo as autodeclarações de gênero e raça/cor e o respectivo consentimento, observando a ordem de autoria desejada para a publicação.</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Repeat the same information above for each co-author, including the self-declarations of gender and race/colour and the corresponding consent, observing the order of authorship desired for publication.</w:t>
      </w:r>
    </w:p>
    <w:p>
      <w:pPr>
        <w:spacing w:before="200" w:after="60"/>
        <w:rPr>
          <w:rFonts w:ascii="Garamond" w:eastAsia="Garamond" w:hAnsi="Garamond" w:cs="Garamond"/>
        </w:rPr>
      </w:pPr>
      <w:r>
        <w:rPr>
          <w:rFonts w:ascii="Garamond" w:eastAsia="Garamond" w:hAnsi="Garamond" w:cs="Garamond"/>
          <w:b/>
          <w:bCs/>
          <w:color w:val="000000"/>
          <w:sz w:val="21"/>
          <w:szCs w:val="21"/>
        </w:rPr>
        <w:t xml:space="preserve">SOBRE O AUTOR 3 (se houver)</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ABOUT AUTHOR 3 (if any)</w:t>
      </w:r>
    </w:p>
    <w:p>
      <w:pPr>
        <w:spacing w:after="0"/>
        <w:jc w:val="both"/>
        <w:rPr>
          <w:rFonts w:ascii="Garamond" w:eastAsia="Garamond" w:hAnsi="Garamond" w:cs="Garamond"/>
        </w:rPr>
      </w:pPr>
      <w:r>
        <w:rPr>
          <w:rFonts w:ascii="Garamond" w:eastAsia="Garamond" w:hAnsi="Garamond" w:cs="Garamond"/>
          <w:sz w:val="21"/>
          <w:szCs w:val="21"/>
        </w:rPr>
        <w:t xml:space="preserve">Caso haja mais de dois autores, incluir também os dados conforme o mesmo padrão indicado.</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If there are more than two authors, also include the data following the same pattern.</w:t>
      </w:r>
    </w:p>
    <w:p>
      <w:pPr>
        <w:spacing w:before="200" w:after="60"/>
        <w:rPr>
          <w:rFonts w:ascii="Garamond" w:eastAsia="Garamond" w:hAnsi="Garamond" w:cs="Garamond"/>
        </w:rPr>
      </w:pPr>
      <w:r>
        <w:rPr>
          <w:rFonts w:ascii="Garamond" w:eastAsia="Garamond" w:hAnsi="Garamond" w:cs="Garamond"/>
          <w:b/>
          <w:bCs/>
          <w:color w:val="000000"/>
          <w:sz w:val="21"/>
          <w:szCs w:val="21"/>
        </w:rPr>
        <w:t xml:space="preserve">JUSTIFICATIVA PARA MAIS DE 3 AUTORES (se aplicável)</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JUSTIFICATION FOR MORE THAN 3 AUTHORS (if applicable)</w:t>
      </w:r>
    </w:p>
    <w:p>
      <w:pPr>
        <w:spacing w:after="0"/>
        <w:jc w:val="both"/>
        <w:rPr>
          <w:rFonts w:ascii="Garamond" w:eastAsia="Garamond" w:hAnsi="Garamond" w:cs="Garamond"/>
        </w:rPr>
      </w:pPr>
      <w:r>
        <w:rPr>
          <w:rFonts w:ascii="Garamond" w:eastAsia="Garamond" w:hAnsi="Garamond" w:cs="Garamond"/>
          <w:sz w:val="21"/>
          <w:szCs w:val="21"/>
        </w:rPr>
        <w:t xml:space="preserve">Descreva a contribuição substantiva de cada autor, nos termos do ICMJE e da taxonomia CRediT, que justifique a autoria acima do limite de 3.</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Describe the substantive contribution of each author, under the ICMJE criteria and the CRediT taxonomy, justifying authorship beyond the limit of 3.</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p>
            <w:pPr>
              <w:spacing w:after="0"/>
              <w:rPr>
                <w:rFonts w:ascii="Garamond" w:eastAsia="Garamond" w:hAnsi="Garamond" w:cs="Garamond"/>
              </w:rPr>
            </w:pPr>
          </w:p>
          <w:p>
            <w:pPr>
              <w:spacing w:after="0"/>
              <w:rPr>
                <w:rFonts w:ascii="Garamond" w:eastAsia="Garamond" w:hAnsi="Garamond" w:cs="Garamond"/>
              </w:rPr>
            </w:pPr>
          </w:p>
        </w:tc>
      </w:tr>
    </w:tbl>
    <w:p>
      <w:pPr>
        <w:spacing w:after="160"/>
        <w:rPr>
          <w:rFonts w:ascii="Garamond" w:eastAsia="Garamond" w:hAnsi="Garamond" w:cs="Garamond"/>
        </w:rPr>
      </w:pP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2 – ESPECIFICAÇÃO DE CONTRIBUIÇÕES DE COAUTORIA (em caso de trabalho com mais de um autor)</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2 – SPECIFICATION OF CO-AUTHORSHIP CONTRIBUTIONS (for works with more than one author)</w:t>
      </w:r>
    </w:p>
    <w:p>
      <w:pPr>
        <w:spacing w:after="0"/>
        <w:rPr>
          <w:rFonts w:ascii="Garamond" w:eastAsia="Garamond" w:hAnsi="Garamond" w:cs="Garamond"/>
        </w:rPr>
      </w:pPr>
      <w:r>
        <w:rPr>
          <w:rFonts w:ascii="Garamond" w:eastAsia="Garamond" w:hAnsi="Garamond" w:cs="Garamond"/>
          <w:sz w:val="21"/>
          <w:szCs w:val="21"/>
        </w:rPr>
        <w:t xml:space="preserve">Estudos com autoria coletiva deverão discriminar o contributo de cada autor(a) seguindo a taxonomia CRediT (</w:t>
      </w:r>
      <w:hyperlink r:id="rId101">
        <w:r>
          <w:rPr>
            <w:rFonts w:ascii="Garamond" w:eastAsia="Garamond" w:hAnsi="Garamond" w:cs="Garamond"/>
            <w:color w:val="0563C1"/>
            <w:u w:val="single"/>
            <w:sz w:val="21"/>
            <w:szCs w:val="21"/>
          </w:rPr>
          <w:t xml:space="preserve">https://credit.niso.org/</w:t>
        </w:r>
      </w:hyperlink>
      <w:r>
        <w:rPr>
          <w:rFonts w:ascii="Garamond" w:eastAsia="Garamond" w:hAnsi="Garamond" w:cs="Garamond"/>
          <w:sz w:val="21"/>
          <w:szCs w:val="21"/>
        </w:rPr>
        <w:t xml:space="preserve">), escolhendo entre as seguintes funções (podendo selecionar mais de uma, se for o caso):</w:t>
      </w:r>
    </w:p>
    <w:p>
      <w:pPr>
        <w:spacing w:after="120"/>
        <w:rPr>
          <w:rFonts w:ascii="Garamond" w:eastAsia="Garamond" w:hAnsi="Garamond" w:cs="Garamond"/>
        </w:rPr>
      </w:pPr>
      <w:r>
        <w:rPr>
          <w:rFonts w:ascii="Garamond" w:eastAsia="Garamond" w:hAnsi="Garamond" w:cs="Garamond"/>
          <w:i/>
          <w:iCs/>
          <w:color w:val="595959"/>
          <w:sz w:val="21"/>
          <w:szCs w:val="21"/>
        </w:rPr>
        <w:t xml:space="preserve">Works with collective authorship must specify the contribution of each author following the CRediT taxonomy, choosing among the following roles (more than one may be selected):</w:t>
      </w:r>
    </w:p>
    <w:p>
      <w:pPr>
        <w:spacing w:after="30"/>
        <w:ind w:left="284"/>
        <w:rPr>
          <w:rFonts w:ascii="Garamond" w:eastAsia="Garamond" w:hAnsi="Garamond" w:cs="Garamond"/>
        </w:rPr>
      </w:pPr>
      <w:r>
        <w:rPr>
          <w:rFonts w:ascii="Garamond" w:eastAsia="Garamond" w:hAnsi="Garamond" w:cs="Garamond"/>
          <w:sz w:val="21"/>
          <w:szCs w:val="21"/>
        </w:rPr>
        <w:t xml:space="preserve">•  </w:t>
      </w:r>
      <w:r>
        <w:rPr>
          <w:rFonts w:ascii="Garamond" w:eastAsia="Garamond" w:hAnsi="Garamond" w:cs="Garamond"/>
          <w:b/>
          <w:bCs/>
          <w:sz w:val="21"/>
          <w:szCs w:val="21"/>
        </w:rPr>
        <w:t xml:space="preserve">Conceptualization</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concepção da pesquisa / research conception</w:t>
      </w:r>
      <w:r>
        <w:rPr>
          <w:rFonts w:ascii="Garamond" w:eastAsia="Garamond" w:hAnsi="Garamond" w:cs="Garamond"/>
          <w:sz w:val="21"/>
          <w:szCs w:val="21"/>
        </w:rPr>
        <w:t xml:space="preserve">)</w:t>
      </w:r>
    </w:p>
    <w:p>
      <w:pPr>
        <w:spacing w:after="30"/>
        <w:ind w:left="284"/>
        <w:rPr>
          <w:rFonts w:ascii="Garamond" w:eastAsia="Garamond" w:hAnsi="Garamond" w:cs="Garamond"/>
        </w:rPr>
      </w:pPr>
      <w:r>
        <w:rPr>
          <w:rFonts w:ascii="Garamond" w:eastAsia="Garamond" w:hAnsi="Garamond" w:cs="Garamond"/>
          <w:sz w:val="21"/>
          <w:szCs w:val="21"/>
        </w:rPr>
        <w:t xml:space="preserve">•  </w:t>
      </w:r>
      <w:r>
        <w:rPr>
          <w:rFonts w:ascii="Garamond" w:eastAsia="Garamond" w:hAnsi="Garamond" w:cs="Garamond"/>
          <w:b/>
          <w:bCs/>
          <w:sz w:val="21"/>
          <w:szCs w:val="21"/>
        </w:rPr>
        <w:t xml:space="preserve">Methodology</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metodologia / methodology</w:t>
      </w:r>
      <w:r>
        <w:rPr>
          <w:rFonts w:ascii="Garamond" w:eastAsia="Garamond" w:hAnsi="Garamond" w:cs="Garamond"/>
          <w:sz w:val="21"/>
          <w:szCs w:val="21"/>
        </w:rPr>
        <w:t xml:space="preserve">)</w:t>
      </w:r>
    </w:p>
    <w:p>
      <w:pPr>
        <w:spacing w:after="30"/>
        <w:ind w:left="284"/>
        <w:rPr>
          <w:rFonts w:ascii="Garamond" w:eastAsia="Garamond" w:hAnsi="Garamond" w:cs="Garamond"/>
        </w:rPr>
      </w:pPr>
      <w:r>
        <w:rPr>
          <w:rFonts w:ascii="Garamond" w:eastAsia="Garamond" w:hAnsi="Garamond" w:cs="Garamond"/>
          <w:sz w:val="21"/>
          <w:szCs w:val="21"/>
        </w:rPr>
        <w:t xml:space="preserve">•  </w:t>
      </w:r>
      <w:r>
        <w:rPr>
          <w:rFonts w:ascii="Garamond" w:eastAsia="Garamond" w:hAnsi="Garamond" w:cs="Garamond"/>
          <w:b/>
          <w:bCs/>
          <w:sz w:val="21"/>
          <w:szCs w:val="21"/>
        </w:rPr>
        <w:t xml:space="preserve">Investigation</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levantamento de dados / data collection</w:t>
      </w:r>
      <w:r>
        <w:rPr>
          <w:rFonts w:ascii="Garamond" w:eastAsia="Garamond" w:hAnsi="Garamond" w:cs="Garamond"/>
          <w:sz w:val="21"/>
          <w:szCs w:val="21"/>
        </w:rPr>
        <w:t xml:space="preserve">)</w:t>
      </w:r>
    </w:p>
    <w:p>
      <w:pPr>
        <w:spacing w:after="30"/>
        <w:ind w:left="284"/>
        <w:rPr>
          <w:rFonts w:ascii="Garamond" w:eastAsia="Garamond" w:hAnsi="Garamond" w:cs="Garamond"/>
        </w:rPr>
      </w:pPr>
      <w:r>
        <w:rPr>
          <w:rFonts w:ascii="Garamond" w:eastAsia="Garamond" w:hAnsi="Garamond" w:cs="Garamond"/>
          <w:sz w:val="21"/>
          <w:szCs w:val="21"/>
        </w:rPr>
        <w:t xml:space="preserve">•  </w:t>
      </w:r>
      <w:r>
        <w:rPr>
          <w:rFonts w:ascii="Garamond" w:eastAsia="Garamond" w:hAnsi="Garamond" w:cs="Garamond"/>
          <w:b/>
          <w:bCs/>
          <w:sz w:val="21"/>
          <w:szCs w:val="21"/>
        </w:rPr>
        <w:t xml:space="preserve">Writing – Original Draft</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redação inicial / original drafting</w:t>
      </w:r>
      <w:r>
        <w:rPr>
          <w:rFonts w:ascii="Garamond" w:eastAsia="Garamond" w:hAnsi="Garamond" w:cs="Garamond"/>
          <w:sz w:val="21"/>
          <w:szCs w:val="21"/>
        </w:rPr>
        <w:t xml:space="preserve">)</w:t>
      </w:r>
    </w:p>
    <w:p>
      <w:pPr>
        <w:spacing w:after="30"/>
        <w:ind w:left="284"/>
        <w:rPr>
          <w:rFonts w:ascii="Garamond" w:eastAsia="Garamond" w:hAnsi="Garamond" w:cs="Garamond"/>
        </w:rPr>
      </w:pPr>
      <w:r>
        <w:rPr>
          <w:rFonts w:ascii="Garamond" w:eastAsia="Garamond" w:hAnsi="Garamond" w:cs="Garamond"/>
          <w:sz w:val="21"/>
          <w:szCs w:val="21"/>
        </w:rPr>
        <w:t xml:space="preserve">•  </w:t>
      </w:r>
      <w:r>
        <w:rPr>
          <w:rFonts w:ascii="Garamond" w:eastAsia="Garamond" w:hAnsi="Garamond" w:cs="Garamond"/>
          <w:b/>
          <w:bCs/>
          <w:sz w:val="21"/>
          <w:szCs w:val="21"/>
        </w:rPr>
        <w:t xml:space="preserve">Writing – Review &amp; Editing</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revisão do texto / text revision</w:t>
      </w:r>
      <w:r>
        <w:rPr>
          <w:rFonts w:ascii="Garamond" w:eastAsia="Garamond" w:hAnsi="Garamond" w:cs="Garamond"/>
          <w:sz w:val="21"/>
          <w:szCs w:val="21"/>
        </w:rPr>
        <w:t xml:space="preserve">)</w:t>
      </w:r>
    </w:p>
    <w:p>
      <w:pPr>
        <w:spacing w:after="30"/>
        <w:ind w:left="284"/>
        <w:rPr>
          <w:rFonts w:ascii="Garamond" w:eastAsia="Garamond" w:hAnsi="Garamond" w:cs="Garamond"/>
        </w:rPr>
      </w:pPr>
      <w:r>
        <w:rPr>
          <w:rFonts w:ascii="Garamond" w:eastAsia="Garamond" w:hAnsi="Garamond" w:cs="Garamond"/>
          <w:sz w:val="21"/>
          <w:szCs w:val="21"/>
        </w:rPr>
        <w:t xml:space="preserve">•  </w:t>
      </w:r>
      <w:r>
        <w:rPr>
          <w:rFonts w:ascii="Garamond" w:eastAsia="Garamond" w:hAnsi="Garamond" w:cs="Garamond"/>
          <w:b/>
          <w:bCs/>
          <w:sz w:val="21"/>
          <w:szCs w:val="21"/>
        </w:rPr>
        <w:t xml:space="preserve">Supervision</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orientação/supervisão / supervision</w:t>
      </w:r>
      <w:r>
        <w:rPr>
          <w:rFonts w:ascii="Garamond" w:eastAsia="Garamond" w:hAnsi="Garamond" w:cs="Garamond"/>
          <w:sz w:val="21"/>
          <w:szCs w:val="21"/>
        </w:rPr>
        <w:t xml:space="preserve">)</w:t>
      </w:r>
    </w:p>
    <w:p>
      <w:pPr>
        <w:spacing w:after="30"/>
        <w:ind w:left="284"/>
        <w:rPr>
          <w:rFonts w:ascii="Garamond" w:eastAsia="Garamond" w:hAnsi="Garamond" w:cs="Garamond"/>
        </w:rPr>
      </w:pPr>
      <w:r>
        <w:rPr>
          <w:rFonts w:ascii="Garamond" w:eastAsia="Garamond" w:hAnsi="Garamond" w:cs="Garamond"/>
          <w:sz w:val="21"/>
          <w:szCs w:val="21"/>
        </w:rPr>
        <w:t xml:space="preserve">•  </w:t>
      </w:r>
      <w:r>
        <w:rPr>
          <w:rFonts w:ascii="Garamond" w:eastAsia="Garamond" w:hAnsi="Garamond" w:cs="Garamond"/>
          <w:b/>
          <w:bCs/>
          <w:sz w:val="21"/>
          <w:szCs w:val="21"/>
        </w:rPr>
        <w:t xml:space="preserve">Funding acquisition</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obtenção de financiamento / funding acquisition</w:t>
      </w:r>
      <w:r>
        <w:rPr>
          <w:rFonts w:ascii="Garamond" w:eastAsia="Garamond" w:hAnsi="Garamond" w:cs="Garamond"/>
          <w:sz w:val="21"/>
          <w:szCs w:val="21"/>
        </w:rPr>
        <w:t xml:space="preserve">)</w:t>
      </w:r>
    </w:p>
    <w:p>
      <w:pPr>
        <w:rPr>
          <w:rFonts w:ascii="Garamond" w:eastAsia="Garamond" w:hAnsi="Garamond" w:cs="Garamond"/>
        </w:rPr>
      </w:pPr>
    </w:p>
    <w:p>
      <w:pPr>
        <w:spacing w:after="60"/>
        <w:rPr>
          <w:rFonts w:ascii="Garamond" w:eastAsia="Garamond" w:hAnsi="Garamond" w:cs="Garamond"/>
        </w:rPr>
      </w:pPr>
      <w:r>
        <w:rPr>
          <w:rFonts w:ascii="Garamond" w:eastAsia="Garamond" w:hAnsi="Garamond" w:cs="Garamond"/>
          <w:b/>
          <w:bCs/>
          <w:sz w:val="21"/>
          <w:szCs w:val="21"/>
        </w:rPr>
        <w:t xml:space="preserve">Contribuição(ões) do Autor 1</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Author 1's contribution(s)</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tc>
      </w:tr>
    </w:tbl>
    <w:p>
      <w:pPr>
        <w:spacing w:after="140"/>
        <w:rPr>
          <w:rFonts w:ascii="Garamond" w:eastAsia="Garamond" w:hAnsi="Garamond" w:cs="Garamond"/>
        </w:rPr>
      </w:pPr>
    </w:p>
    <w:p>
      <w:pPr>
        <w:spacing w:after="60"/>
        <w:rPr>
          <w:rFonts w:ascii="Garamond" w:eastAsia="Garamond" w:hAnsi="Garamond" w:cs="Garamond"/>
        </w:rPr>
      </w:pPr>
      <w:r>
        <w:rPr>
          <w:rFonts w:ascii="Garamond" w:eastAsia="Garamond" w:hAnsi="Garamond" w:cs="Garamond"/>
          <w:b/>
          <w:bCs/>
          <w:sz w:val="21"/>
          <w:szCs w:val="21"/>
        </w:rPr>
        <w:t xml:space="preserve">Contribuição(ões) do Autor 2</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Author 2's contribution(s)</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tc>
      </w:tr>
    </w:tbl>
    <w:p>
      <w:pPr>
        <w:spacing w:after="140"/>
        <w:rPr>
          <w:rFonts w:ascii="Garamond" w:eastAsia="Garamond" w:hAnsi="Garamond" w:cs="Garamond"/>
        </w:rPr>
      </w:pPr>
    </w:p>
    <w:p>
      <w:pPr>
        <w:spacing w:after="60"/>
        <w:rPr>
          <w:rFonts w:ascii="Garamond" w:eastAsia="Garamond" w:hAnsi="Garamond" w:cs="Garamond"/>
        </w:rPr>
      </w:pPr>
      <w:r>
        <w:rPr>
          <w:rFonts w:ascii="Garamond" w:eastAsia="Garamond" w:hAnsi="Garamond" w:cs="Garamond"/>
          <w:b/>
          <w:bCs/>
          <w:sz w:val="21"/>
          <w:szCs w:val="21"/>
        </w:rPr>
        <w:t xml:space="preserve">Contribuição(ões) do Autor 3 (se houver)</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Author 3's contribution(s) (if any)</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tc>
      </w:tr>
    </w:tbl>
    <w:p>
      <w:pPr>
        <w:spacing w:after="140"/>
        <w:rPr>
          <w:rFonts w:ascii="Garamond" w:eastAsia="Garamond" w:hAnsi="Garamond" w:cs="Garamond"/>
        </w:rPr>
      </w:pPr>
    </w:p>
    <w:p>
      <w:pPr>
        <w:spacing w:before="200" w:after="60"/>
        <w:rPr>
          <w:rFonts w:ascii="Garamond" w:eastAsia="Garamond" w:hAnsi="Garamond" w:cs="Garamond"/>
        </w:rPr>
      </w:pPr>
      <w:r>
        <w:rPr>
          <w:rFonts w:ascii="Garamond" w:eastAsia="Garamond" w:hAnsi="Garamond" w:cs="Garamond"/>
          <w:b/>
          <w:bCs/>
          <w:color w:val="000000"/>
          <w:sz w:val="21"/>
          <w:szCs w:val="21"/>
        </w:rPr>
        <w:t xml:space="preserve">Ciência Aberta e Política de Depósito em Repositório</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Open Science and Repository Deposit Policy</w:t>
      </w:r>
    </w:p>
    <w:p>
      <w:pPr>
        <w:spacing w:after="0"/>
        <w:rPr>
          <w:rFonts w:ascii="Garamond" w:eastAsia="Garamond" w:hAnsi="Garamond" w:cs="Garamond"/>
        </w:rPr>
      </w:pPr>
      <w:r>
        <w:rPr>
          <w:rFonts w:ascii="Garamond" w:eastAsia="Garamond" w:hAnsi="Garamond" w:cs="Garamond"/>
          <w:sz w:val="21"/>
          <w:szCs w:val="21"/>
        </w:rPr>
        <w:t xml:space="preserve">Antes de seguir para as partes abaixo, recomendamos a leitura do texto constante no link </w:t>
      </w:r>
      <w:hyperlink r:id="rId102">
        <w:r>
          <w:rPr>
            <w:rFonts w:ascii="Garamond" w:eastAsia="Garamond" w:hAnsi="Garamond" w:cs="Garamond"/>
            <w:color w:val="0563C1"/>
            <w:u w:val="single"/>
            <w:sz w:val="21"/>
            <w:szCs w:val="21"/>
          </w:rPr>
          <w:t xml:space="preserve">https://ojs.unifor.br/rpen/politicaeditorialcienciaaberta</w:t>
        </w:r>
      </w:hyperlink>
    </w:p>
    <w:p>
      <w:pPr>
        <w:spacing w:after="160"/>
        <w:rPr>
          <w:rFonts w:ascii="Garamond" w:eastAsia="Garamond" w:hAnsi="Garamond" w:cs="Garamond"/>
        </w:rPr>
      </w:pPr>
      <w:r>
        <w:rPr>
          <w:rFonts w:ascii="Garamond" w:eastAsia="Garamond" w:hAnsi="Garamond" w:cs="Garamond"/>
          <w:i/>
          <w:iCs/>
          <w:color w:val="595959"/>
          <w:sz w:val="21"/>
          <w:szCs w:val="21"/>
        </w:rPr>
        <w:t xml:space="preserve">Before proceeding to the sections below, we recommend reading the text available at the link above.</w:t>
      </w: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3 – COMPARTILHAMENTO DE DADOS DE PESQUISA</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3 – RESEARCH DATA SHARING</w:t>
      </w:r>
    </w:p>
    <w:p>
      <w:pPr>
        <w:spacing w:after="40"/>
        <w:ind w:left="284"/>
        <w:rPr>
          <w:rFonts w:ascii="Garamond" w:eastAsia="Garamond" w:hAnsi="Garamond" w:cs="Garamond"/>
        </w:rPr>
      </w:pPr>
      <w:r>
        <w:rPr>
          <w:rFonts w:ascii="Garamond" w:eastAsia="Garamond" w:hAnsi="Garamond" w:cs="Garamond"/>
          <w:sz w:val="21"/>
          <w:szCs w:val="21"/>
        </w:rPr>
        <w:t xml:space="preserve">[    ]  Trata-se de artigo exclusivamente doutrinário ou teórico, não gerador de dados complementares.  /  </w:t>
      </w:r>
      <w:r>
        <w:rPr>
          <w:rFonts w:ascii="Garamond" w:eastAsia="Garamond" w:hAnsi="Garamond" w:cs="Garamond"/>
          <w:i/>
          <w:iCs/>
          <w:color w:val="595959"/>
          <w:sz w:val="21"/>
          <w:szCs w:val="21"/>
        </w:rPr>
        <w:t xml:space="preserve">This is a purely doctrinal or theoretical article that does not generate supplementary data.</w:t>
      </w:r>
    </w:p>
    <w:p>
      <w:pPr>
        <w:spacing w:after="40"/>
        <w:ind w:left="284"/>
        <w:rPr>
          <w:rFonts w:ascii="Garamond" w:eastAsia="Garamond" w:hAnsi="Garamond" w:cs="Garamond"/>
        </w:rPr>
      </w:pPr>
      <w:r>
        <w:rPr>
          <w:rFonts w:ascii="Garamond" w:eastAsia="Garamond" w:hAnsi="Garamond" w:cs="Garamond"/>
          <w:sz w:val="21"/>
          <w:szCs w:val="21"/>
        </w:rPr>
        <w:t xml:space="preserve">[    ]  Sim. Os dados e materiais que fundamentam este manuscrito serão disponibilizados em repositório público confiável (ex.: SciELO Data, Zenodo, OSF, Dataverse), com link informado no artigo.  /  </w:t>
      </w:r>
      <w:r>
        <w:rPr>
          <w:rFonts w:ascii="Garamond" w:eastAsia="Garamond" w:hAnsi="Garamond" w:cs="Garamond"/>
          <w:i/>
          <w:iCs/>
          <w:color w:val="595959"/>
          <w:sz w:val="21"/>
          <w:szCs w:val="21"/>
        </w:rPr>
        <w:t xml:space="preserve">Yes. The data and materials underlying this manuscript will be made available in a trusted public repository (e.g. SciELO Data, Zenodo, OSF, Dataverse), with the link stated in the article.</w:t>
      </w:r>
    </w:p>
    <w:p>
      <w:pPr>
        <w:spacing w:after="40"/>
        <w:ind w:left="284"/>
        <w:rPr>
          <w:rFonts w:ascii="Garamond" w:eastAsia="Garamond" w:hAnsi="Garamond" w:cs="Garamond"/>
        </w:rPr>
      </w:pPr>
      <w:r>
        <w:rPr>
          <w:rFonts w:ascii="Garamond" w:eastAsia="Garamond" w:hAnsi="Garamond" w:cs="Garamond"/>
          <w:sz w:val="21"/>
          <w:szCs w:val="21"/>
        </w:rPr>
        <w:t xml:space="preserve">[    ]  Não. Por motivos éticos, legais ou técnicos, os dados não poderão ser compartilhados.  /  </w:t>
      </w:r>
      <w:r>
        <w:rPr>
          <w:rFonts w:ascii="Garamond" w:eastAsia="Garamond" w:hAnsi="Garamond" w:cs="Garamond"/>
          <w:i/>
          <w:iCs/>
          <w:color w:val="595959"/>
          <w:sz w:val="21"/>
          <w:szCs w:val="21"/>
        </w:rPr>
        <w:t xml:space="preserve">No. For ethical, legal or technical reasons, the data cannot be shared.</w:t>
      </w:r>
    </w:p>
    <w:p>
      <w:pPr>
        <w:rPr>
          <w:rFonts w:ascii="Garamond" w:eastAsia="Garamond" w:hAnsi="Garamond" w:cs="Garamond"/>
        </w:rPr>
      </w:pPr>
    </w:p>
    <w:p>
      <w:pPr>
        <w:spacing w:after="60"/>
        <w:rPr>
          <w:rFonts w:ascii="Garamond" w:eastAsia="Garamond" w:hAnsi="Garamond" w:cs="Garamond"/>
        </w:rPr>
      </w:pPr>
      <w:r>
        <w:rPr>
          <w:rFonts w:ascii="Garamond" w:eastAsia="Garamond" w:hAnsi="Garamond" w:cs="Garamond"/>
          <w:b/>
          <w:bCs/>
          <w:sz w:val="21"/>
          <w:szCs w:val="21"/>
        </w:rPr>
        <w:t xml:space="preserve">Justificativa (caso aplicável)</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Justification (if applicable)</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tc>
      </w:tr>
    </w:tbl>
    <w:p>
      <w:pPr>
        <w:spacing w:after="140"/>
        <w:rPr>
          <w:rFonts w:ascii="Garamond" w:eastAsia="Garamond" w:hAnsi="Garamond" w:cs="Garamond"/>
        </w:rPr>
      </w:pP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4 – OPÇÃO DE AVALIAÇÃO POR PARES</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4 – PEER REVIEW OPTION</w:t>
      </w:r>
    </w:p>
    <w:p>
      <w:pPr>
        <w:spacing w:after="0"/>
        <w:ind w:left="284"/>
        <w:rPr>
          <w:rFonts w:ascii="Garamond" w:eastAsia="Garamond" w:hAnsi="Garamond" w:cs="Garamond"/>
        </w:rPr>
      </w:pPr>
      <w:r>
        <w:rPr>
          <w:rFonts w:ascii="Garamond" w:eastAsia="Garamond" w:hAnsi="Garamond" w:cs="Garamond"/>
          <w:sz w:val="21"/>
          <w:szCs w:val="21"/>
        </w:rPr>
        <w:t xml:space="preserve">[    ]  </w:t>
      </w:r>
      <w:r>
        <w:rPr>
          <w:rFonts w:ascii="Garamond" w:eastAsia="Garamond" w:hAnsi="Garamond" w:cs="Garamond"/>
          <w:b/>
          <w:bCs/>
          <w:sz w:val="21"/>
          <w:szCs w:val="21"/>
        </w:rPr>
        <w:t xml:space="preserve">Avaliação Aberta (Open Peer Review)</w:t>
      </w:r>
      <w:r>
        <w:rPr>
          <w:rFonts w:ascii="Garamond" w:eastAsia="Garamond" w:hAnsi="Garamond" w:cs="Garamond"/>
          <w:sz w:val="21"/>
          <w:szCs w:val="21"/>
        </w:rPr>
        <w:t xml:space="preserve">  </w:t>
      </w:r>
      <w:r>
        <w:rPr>
          <w:rFonts w:ascii="Garamond" w:eastAsia="Garamond" w:hAnsi="Garamond" w:cs="Garamond"/>
          <w:i/>
          <w:iCs/>
          <w:color w:val="595959"/>
          <w:sz w:val="21"/>
          <w:szCs w:val="21"/>
        </w:rPr>
        <w:t xml:space="preserve">recomendada / recommended</w:t>
      </w:r>
    </w:p>
    <w:p>
      <w:pPr>
        <w:spacing w:after="0"/>
        <w:ind w:left="568"/>
        <w:jc w:val="both"/>
        <w:rPr>
          <w:rFonts w:ascii="Garamond" w:eastAsia="Garamond" w:hAnsi="Garamond" w:cs="Garamond"/>
        </w:rPr>
      </w:pPr>
      <w:r>
        <w:rPr>
          <w:rFonts w:ascii="Garamond" w:eastAsia="Garamond" w:hAnsi="Garamond" w:cs="Garamond"/>
          <w:sz w:val="21"/>
          <w:szCs w:val="21"/>
        </w:rPr>
        <w:t xml:space="preserve">Autorizo a interação direta com os(as) avaliadores(as) e a possibilidade de publicação dos pareceres juntamente com o artigo, caso aprovado.</w:t>
      </w:r>
    </w:p>
    <w:p>
      <w:pPr>
        <w:spacing w:after="120"/>
        <w:ind w:left="568"/>
        <w:jc w:val="both"/>
        <w:rPr>
          <w:rFonts w:ascii="Garamond" w:eastAsia="Garamond" w:hAnsi="Garamond" w:cs="Garamond"/>
        </w:rPr>
      </w:pPr>
      <w:r>
        <w:rPr>
          <w:rFonts w:ascii="Garamond" w:eastAsia="Garamond" w:hAnsi="Garamond" w:cs="Garamond"/>
          <w:i/>
          <w:iCs/>
          <w:color w:val="595959"/>
          <w:sz w:val="21"/>
          <w:szCs w:val="21"/>
        </w:rPr>
        <w:t xml:space="preserve">I authorise direct interaction with the reviewers and the possible publication of the reviews together with the article, if approved.</w:t>
      </w:r>
    </w:p>
    <w:p>
      <w:pPr>
        <w:spacing w:after="120"/>
        <w:ind w:left="568"/>
        <w:jc w:val="both"/>
        <w:rPr>
          <w:rFonts w:ascii="Garamond" w:eastAsia="Garamond" w:hAnsi="Garamond" w:cs="Garamond"/>
        </w:rPr>
      </w:pPr>
      <w:r>
        <w:rPr>
          <w:rFonts w:ascii="Garamond" w:eastAsia="Garamond" w:hAnsi="Garamond" w:cs="Garamond"/>
          <w:sz w:val="21"/>
          <w:szCs w:val="21"/>
        </w:rPr>
        <w:t xml:space="preserve">A avaliação aberta só é adotada se todos os autores e todos os avaliadores concordarem; caso contrário, a avaliação segue em duplo anonimato.  /  </w:t>
      </w:r>
      <w:r>
        <w:rPr>
          <w:rFonts w:ascii="Garamond" w:eastAsia="Garamond" w:hAnsi="Garamond" w:cs="Garamond"/>
          <w:i/>
          <w:iCs/>
          <w:color w:val="595959"/>
          <w:sz w:val="21"/>
          <w:szCs w:val="21"/>
        </w:rPr>
        <w:t xml:space="preserve">Open peer review is adopted only if all authors and all reviewers agree; otherwise, the review proceeds under the double-anonymised model.</w:t>
      </w:r>
    </w:p>
    <w:p>
      <w:pPr>
        <w:spacing w:after="0"/>
        <w:ind w:left="284"/>
        <w:rPr>
          <w:rFonts w:ascii="Garamond" w:eastAsia="Garamond" w:hAnsi="Garamond" w:cs="Garamond"/>
        </w:rPr>
      </w:pPr>
      <w:r>
        <w:rPr>
          <w:rFonts w:ascii="Garamond" w:eastAsia="Garamond" w:hAnsi="Garamond" w:cs="Garamond"/>
          <w:sz w:val="21"/>
          <w:szCs w:val="21"/>
        </w:rPr>
        <w:t xml:space="preserve">[    ]  </w:t>
      </w:r>
      <w:r>
        <w:rPr>
          <w:rFonts w:ascii="Garamond" w:eastAsia="Garamond" w:hAnsi="Garamond" w:cs="Garamond"/>
          <w:b/>
          <w:bCs/>
          <w:sz w:val="21"/>
          <w:szCs w:val="21"/>
        </w:rPr>
        <w:t xml:space="preserve">Avaliação Cega Tradicional (Double Blind Peer Review)</w:t>
      </w:r>
    </w:p>
    <w:p>
      <w:pPr>
        <w:spacing w:after="0"/>
        <w:ind w:left="568"/>
        <w:jc w:val="both"/>
        <w:rPr>
          <w:rFonts w:ascii="Garamond" w:eastAsia="Garamond" w:hAnsi="Garamond" w:cs="Garamond"/>
        </w:rPr>
      </w:pPr>
      <w:r>
        <w:rPr>
          <w:rFonts w:ascii="Garamond" w:eastAsia="Garamond" w:hAnsi="Garamond" w:cs="Garamond"/>
          <w:sz w:val="21"/>
          <w:szCs w:val="21"/>
        </w:rPr>
        <w:t xml:space="preserve">Prefiro que o artigo seja avaliado no modelo de duplo anonimato, sem divulgação dos pareceres.</w:t>
      </w:r>
    </w:p>
    <w:p>
      <w:pPr>
        <w:spacing w:after="120"/>
        <w:ind w:left="568"/>
        <w:jc w:val="both"/>
        <w:rPr>
          <w:rFonts w:ascii="Garamond" w:eastAsia="Garamond" w:hAnsi="Garamond" w:cs="Garamond"/>
        </w:rPr>
      </w:pPr>
      <w:r>
        <w:rPr>
          <w:rFonts w:ascii="Garamond" w:eastAsia="Garamond" w:hAnsi="Garamond" w:cs="Garamond"/>
          <w:i/>
          <w:iCs/>
          <w:color w:val="595959"/>
          <w:sz w:val="21"/>
          <w:szCs w:val="21"/>
        </w:rPr>
        <w:t xml:space="preserve">I prefer the article to be assessed under the double-anonymised model, without disclosure of the reviews.</w:t>
      </w: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5 – PREPRINTS</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5 – PREPRINTS</w:t>
      </w:r>
    </w:p>
    <w:p>
      <w:pPr>
        <w:spacing w:after="120"/>
        <w:rPr>
          <w:rFonts w:ascii="Garamond" w:eastAsia="Garamond" w:hAnsi="Garamond" w:cs="Garamond"/>
        </w:rPr>
      </w:pPr>
      <w:hyperlink r:id="rId103">
        <w:r>
          <w:rPr>
            <w:rFonts w:ascii="Garamond" w:eastAsia="Garamond" w:hAnsi="Garamond" w:cs="Garamond"/>
            <w:color w:val="0563C1"/>
            <w:u w:val="single"/>
            <w:sz w:val="21"/>
            <w:szCs w:val="21"/>
          </w:rPr>
          <w:t xml:space="preserve">https://ojs.unifor.br/rpen/preprints</w:t>
        </w:r>
      </w:hyperlink>
    </w:p>
    <w:p>
      <w:pPr>
        <w:spacing w:after="0"/>
        <w:jc w:val="both"/>
        <w:rPr>
          <w:rFonts w:ascii="Garamond" w:eastAsia="Garamond" w:hAnsi="Garamond" w:cs="Garamond"/>
        </w:rPr>
      </w:pPr>
      <w:r>
        <w:rPr>
          <w:rFonts w:ascii="Garamond" w:eastAsia="Garamond" w:hAnsi="Garamond" w:cs="Garamond"/>
          <w:sz w:val="21"/>
          <w:szCs w:val="21"/>
        </w:rPr>
        <w:t xml:space="preserve">Preprints são versões de artigos científicos que ainda não passaram pela avaliação por pares no âmbito editorial de um periódico, ou que já foram avaliadas, mas ainda não tiveram sua publicação finalizada. Esses textos podem ser disponibilizados em repositórios reconhecidos sem que isso afete o caráter inédito da pesquisa.</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Preprints are versions of scientific articles that have not yet undergone peer review within a journal's editorial process, or that have been reviewed but not yet finally published. Such texts may be made available in recognised repositories without this affecting the unpublished character of the research.</w:t>
      </w:r>
    </w:p>
    <w:p>
      <w:pPr>
        <w:spacing w:after="0"/>
        <w:jc w:val="both"/>
        <w:rPr>
          <w:rFonts w:ascii="Garamond" w:eastAsia="Garamond" w:hAnsi="Garamond" w:cs="Garamond"/>
        </w:rPr>
      </w:pPr>
      <w:r>
        <w:rPr>
          <w:rFonts w:ascii="Garamond" w:eastAsia="Garamond" w:hAnsi="Garamond" w:cs="Garamond"/>
          <w:sz w:val="21"/>
          <w:szCs w:val="21"/>
        </w:rPr>
        <w:t xml:space="preserve">Os autores que já tenham disponibilizado seus manuscritos em repositórios de preprints (como SSRN, Zenodo, SciELO Preprints, entre outros) podem submetê-los à revista, desde que informem claramente, no ato da submissão, o link de acesso e a versão depositada.</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Authors who have already made their manuscripts available in preprint repositories (such as SSRN, Zenodo, SciELO Preprints, among others) may submit them to the journal, provided that they clearly state, at the time of submission, the access link and the deposited version.</w:t>
      </w:r>
    </w:p>
    <w:p>
      <w:pPr>
        <w:spacing w:after="0"/>
        <w:jc w:val="both"/>
        <w:rPr>
          <w:rFonts w:ascii="Garamond" w:eastAsia="Garamond" w:hAnsi="Garamond" w:cs="Garamond"/>
        </w:rPr>
      </w:pPr>
      <w:r>
        <w:rPr>
          <w:rFonts w:ascii="Garamond" w:eastAsia="Garamond" w:hAnsi="Garamond" w:cs="Garamond"/>
          <w:sz w:val="21"/>
          <w:szCs w:val="21"/>
        </w:rPr>
        <w:t xml:space="preserve">A decisão de realizar ou não o depósito em preprint é inteiramente dos(as) autores(as) e não interfere, de forma positiva ou negativa, no processo de avaliação conduzido pela Equipe Editorial.</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The decision whether or not to deposit a preprint rests entirely with the authors and does not affect, positively or negatively, the assessment process conducted by the Editorial Team.</w:t>
      </w:r>
    </w:p>
    <w:p>
      <w:pPr>
        <w:spacing w:before="200" w:after="60"/>
        <w:rPr>
          <w:rFonts w:ascii="Garamond" w:eastAsia="Garamond" w:hAnsi="Garamond" w:cs="Garamond"/>
        </w:rPr>
      </w:pPr>
      <w:r>
        <w:rPr>
          <w:rFonts w:ascii="Garamond" w:eastAsia="Garamond" w:hAnsi="Garamond" w:cs="Garamond"/>
          <w:b/>
          <w:bCs/>
          <w:color w:val="000000"/>
          <w:sz w:val="21"/>
          <w:szCs w:val="21"/>
        </w:rPr>
        <w:t xml:space="preserve">O artigo submetido é um preprint?</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Is the submitted article a preprint?</w:t>
      </w:r>
    </w:p>
    <w:p>
      <w:pPr>
        <w:spacing w:after="40"/>
        <w:ind w:left="284"/>
        <w:rPr>
          <w:rFonts w:ascii="Garamond" w:eastAsia="Garamond" w:hAnsi="Garamond" w:cs="Garamond"/>
        </w:rPr>
      </w:pPr>
      <w:r>
        <w:rPr>
          <w:rFonts w:ascii="Garamond" w:eastAsia="Garamond" w:hAnsi="Garamond" w:cs="Garamond"/>
          <w:sz w:val="21"/>
          <w:szCs w:val="21"/>
        </w:rPr>
        <w:t xml:space="preserve">[    ]  Sim  /  </w:t>
      </w:r>
      <w:r>
        <w:rPr>
          <w:rFonts w:ascii="Garamond" w:eastAsia="Garamond" w:hAnsi="Garamond" w:cs="Garamond"/>
          <w:i/>
          <w:iCs/>
          <w:color w:val="595959"/>
          <w:sz w:val="21"/>
          <w:szCs w:val="21"/>
        </w:rPr>
        <w:t xml:space="preserve">Yes</w:t>
      </w:r>
    </w:p>
    <w:p>
      <w:pPr>
        <w:spacing w:after="60"/>
        <w:ind w:left="568"/>
        <w:rPr>
          <w:rFonts w:ascii="Garamond" w:eastAsia="Garamond" w:hAnsi="Garamond" w:cs="Garamond"/>
        </w:rPr>
      </w:pPr>
      <w:r>
        <w:rPr>
          <w:rFonts w:ascii="Garamond" w:eastAsia="Garamond" w:hAnsi="Garamond" w:cs="Garamond"/>
          <w:b/>
          <w:bCs/>
          <w:sz w:val="21"/>
          <w:szCs w:val="21"/>
        </w:rPr>
        <w:t xml:space="preserve">Nome do servidor de Preprints  /  </w:t>
      </w:r>
      <w:r>
        <w:rPr>
          <w:rFonts w:ascii="Garamond" w:eastAsia="Garamond" w:hAnsi="Garamond" w:cs="Garamond"/>
          <w:i/>
          <w:iCs/>
          <w:color w:val="595959"/>
          <w:sz w:val="21"/>
          <w:szCs w:val="21"/>
        </w:rPr>
        <w:t xml:space="preserve">Preprint server name</w:t>
      </w:r>
      <w:r>
        <w:rPr>
          <w:rFonts w:ascii="Garamond" w:eastAsia="Garamond" w:hAnsi="Garamond" w:cs="Garamond"/>
          <w:sz w:val="21"/>
          <w:szCs w:val="21"/>
        </w:rPr>
        <w:t xml:space="preserve">:</w:t>
      </w:r>
    </w:p>
    <w:tbl>
      <w:tblPr>
        <w:tblW w:w="8072" w:type="dxa"/>
        <w:tblInd w:w="56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072"/>
      </w:tblGrid>
      <w:tr>
        <w:tc>
          <w:tcPr>
            <w:tcW w:w="8072" w:type="dxa"/>
          </w:tcPr>
          <w:p>
            <w:pPr>
              <w:spacing w:after="0"/>
              <w:rPr>
                <w:rFonts w:ascii="Garamond" w:eastAsia="Garamond" w:hAnsi="Garamond" w:cs="Garamond"/>
              </w:rPr>
            </w:pPr>
          </w:p>
        </w:tc>
      </w:tr>
    </w:tbl>
    <w:p>
      <w:pPr>
        <w:spacing w:after="100"/>
        <w:rPr>
          <w:rFonts w:ascii="Garamond" w:eastAsia="Garamond" w:hAnsi="Garamond" w:cs="Garamond"/>
        </w:rPr>
      </w:pPr>
    </w:p>
    <w:p>
      <w:pPr>
        <w:spacing w:after="60"/>
        <w:ind w:left="568"/>
        <w:rPr>
          <w:rFonts w:ascii="Garamond" w:eastAsia="Garamond" w:hAnsi="Garamond" w:cs="Garamond"/>
        </w:rPr>
      </w:pPr>
      <w:r>
        <w:rPr>
          <w:rFonts w:ascii="Garamond" w:eastAsia="Garamond" w:hAnsi="Garamond" w:cs="Garamond"/>
          <w:b/>
          <w:bCs/>
          <w:sz w:val="21"/>
          <w:szCs w:val="21"/>
        </w:rPr>
        <w:t xml:space="preserve">DOI do Preprint  /  </w:t>
      </w:r>
      <w:r>
        <w:rPr>
          <w:rFonts w:ascii="Garamond" w:eastAsia="Garamond" w:hAnsi="Garamond" w:cs="Garamond"/>
          <w:i/>
          <w:iCs/>
          <w:color w:val="595959"/>
          <w:sz w:val="21"/>
          <w:szCs w:val="21"/>
        </w:rPr>
        <w:t xml:space="preserve">Preprint DOI</w:t>
      </w:r>
      <w:r>
        <w:rPr>
          <w:rFonts w:ascii="Garamond" w:eastAsia="Garamond" w:hAnsi="Garamond" w:cs="Garamond"/>
          <w:sz w:val="21"/>
          <w:szCs w:val="21"/>
        </w:rPr>
        <w:t xml:space="preserve">:</w:t>
      </w:r>
    </w:p>
    <w:tbl>
      <w:tblPr>
        <w:tblW w:w="8072" w:type="dxa"/>
        <w:tblInd w:w="56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072"/>
      </w:tblGrid>
      <w:tr>
        <w:tc>
          <w:tcPr>
            <w:tcW w:w="8072" w:type="dxa"/>
          </w:tcPr>
          <w:p>
            <w:pPr>
              <w:spacing w:after="0"/>
              <w:rPr>
                <w:rFonts w:ascii="Garamond" w:eastAsia="Garamond" w:hAnsi="Garamond" w:cs="Garamond"/>
              </w:rPr>
            </w:pPr>
          </w:p>
        </w:tc>
      </w:tr>
    </w:tbl>
    <w:p>
      <w:pPr>
        <w:spacing w:after="100"/>
        <w:rPr>
          <w:rFonts w:ascii="Garamond" w:eastAsia="Garamond" w:hAnsi="Garamond" w:cs="Garamond"/>
        </w:rPr>
      </w:pPr>
    </w:p>
    <w:p>
      <w:pPr>
        <w:spacing w:after="40"/>
        <w:ind w:left="284"/>
        <w:rPr>
          <w:rFonts w:ascii="Garamond" w:eastAsia="Garamond" w:hAnsi="Garamond" w:cs="Garamond"/>
        </w:rPr>
      </w:pPr>
      <w:r>
        <w:rPr>
          <w:rFonts w:ascii="Garamond" w:eastAsia="Garamond" w:hAnsi="Garamond" w:cs="Garamond"/>
          <w:sz w:val="21"/>
          <w:szCs w:val="21"/>
        </w:rPr>
        <w:t xml:space="preserve">[    ]  Não  /  </w:t>
      </w:r>
      <w:r>
        <w:rPr>
          <w:rFonts w:ascii="Garamond" w:eastAsia="Garamond" w:hAnsi="Garamond" w:cs="Garamond"/>
          <w:i/>
          <w:iCs/>
          <w:color w:val="595959"/>
          <w:sz w:val="21"/>
          <w:szCs w:val="21"/>
        </w:rPr>
        <w:t xml:space="preserve">No</w:t>
      </w: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6 – CONFLITOS DE INTERESSE E FINANCIAMENTO</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6 – CONFLICTS OF INTEREST AND FUNDING</w:t>
      </w:r>
    </w:p>
    <w:p>
      <w:pPr>
        <w:spacing w:after="120"/>
        <w:rPr>
          <w:rFonts w:ascii="Garamond" w:eastAsia="Garamond" w:hAnsi="Garamond" w:cs="Garamond"/>
        </w:rPr>
      </w:pPr>
      <w:r>
        <w:rPr>
          <w:rFonts w:ascii="Garamond" w:eastAsia="Garamond" w:hAnsi="Garamond" w:cs="Garamond"/>
          <w:sz w:val="21"/>
          <w:szCs w:val="21"/>
        </w:rPr>
        <w:t xml:space="preserve">Política completa: </w:t>
      </w:r>
      <w:hyperlink r:id="rId105">
        <w:r>
          <w:rPr>
            <w:rFonts w:ascii="Garamond" w:eastAsia="Garamond" w:hAnsi="Garamond" w:cs="Garamond"/>
            <w:color w:val="0563C1"/>
            <w:u w:val="single"/>
            <w:sz w:val="21"/>
            <w:szCs w:val="21"/>
          </w:rPr>
          <w:t xml:space="preserve">https://ojs.unifor.br/rpen/conflitointeresse</w:t>
        </w:r>
      </w:hyperlink>
    </w:p>
    <w:p>
      <w:pPr>
        <w:spacing w:before="200" w:after="60"/>
        <w:rPr>
          <w:rFonts w:ascii="Garamond" w:eastAsia="Garamond" w:hAnsi="Garamond" w:cs="Garamond"/>
        </w:rPr>
      </w:pPr>
      <w:r>
        <w:rPr>
          <w:rFonts w:ascii="Garamond" w:eastAsia="Garamond" w:hAnsi="Garamond" w:cs="Garamond"/>
          <w:b/>
          <w:bCs/>
          <w:color w:val="000000"/>
          <w:sz w:val="21"/>
          <w:szCs w:val="21"/>
        </w:rPr>
        <w:t xml:space="preserve">Conflitos de interesse</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Conflicts of interest</w:t>
      </w:r>
    </w:p>
    <w:p>
      <w:pPr>
        <w:spacing w:after="40"/>
        <w:ind w:left="284"/>
        <w:rPr>
          <w:rFonts w:ascii="Garamond" w:eastAsia="Garamond" w:hAnsi="Garamond" w:cs="Garamond"/>
        </w:rPr>
      </w:pPr>
      <w:r>
        <w:rPr>
          <w:rFonts w:ascii="Garamond" w:eastAsia="Garamond" w:hAnsi="Garamond" w:cs="Garamond"/>
          <w:sz w:val="21"/>
          <w:szCs w:val="21"/>
        </w:rPr>
        <w:t xml:space="preserve">[    ]  Declaro que não há conflitos de interesse (financeiros, profissionais ou pessoais) que possam influenciar a pesquisa, a análise ou a decisão de submissão/publicação deste manuscrito.  /  </w:t>
      </w:r>
      <w:r>
        <w:rPr>
          <w:rFonts w:ascii="Garamond" w:eastAsia="Garamond" w:hAnsi="Garamond" w:cs="Garamond"/>
          <w:i/>
          <w:iCs/>
          <w:color w:val="595959"/>
          <w:sz w:val="21"/>
          <w:szCs w:val="21"/>
        </w:rPr>
        <w:t xml:space="preserve">I declare that there are no conflicts of interest (financial, professional or personal) that could influence the research, the analysis or the decision to submit or publish this manuscript.</w:t>
      </w:r>
    </w:p>
    <w:p>
      <w:pPr>
        <w:spacing w:after="40"/>
        <w:ind w:left="284"/>
        <w:rPr>
          <w:rFonts w:ascii="Garamond" w:eastAsia="Garamond" w:hAnsi="Garamond" w:cs="Garamond"/>
        </w:rPr>
      </w:pPr>
      <w:r>
        <w:rPr>
          <w:rFonts w:ascii="Garamond" w:eastAsia="Garamond" w:hAnsi="Garamond" w:cs="Garamond"/>
          <w:sz w:val="21"/>
          <w:szCs w:val="21"/>
        </w:rPr>
        <w:t xml:space="preserve">[    ]  Declaro que há conflito(s) de interesse, conforme descrito abaixo.  /  </w:t>
      </w:r>
      <w:r>
        <w:rPr>
          <w:rFonts w:ascii="Garamond" w:eastAsia="Garamond" w:hAnsi="Garamond" w:cs="Garamond"/>
          <w:i/>
          <w:iCs/>
          <w:color w:val="595959"/>
          <w:sz w:val="21"/>
          <w:szCs w:val="21"/>
        </w:rPr>
        <w:t xml:space="preserve">I declare that there is/are conflict(s) of interest, as described below.</w:t>
      </w:r>
    </w:p>
    <w:p>
      <w:pPr>
        <w:rPr>
          <w:rFonts w:ascii="Garamond" w:eastAsia="Garamond" w:hAnsi="Garamond" w:cs="Garamond"/>
        </w:rPr>
      </w:pPr>
    </w:p>
    <w:p>
      <w:pPr>
        <w:spacing w:after="0"/>
        <w:rPr>
          <w:rFonts w:ascii="Garamond" w:eastAsia="Garamond" w:hAnsi="Garamond" w:cs="Garamond"/>
        </w:rPr>
      </w:pPr>
      <w:r>
        <w:rPr>
          <w:rFonts w:ascii="Garamond" w:eastAsia="Garamond" w:hAnsi="Garamond" w:cs="Garamond"/>
          <w:b/>
          <w:bCs/>
          <w:sz w:val="21"/>
          <w:szCs w:val="21"/>
        </w:rPr>
        <w:t xml:space="preserve">Descrição do(s) conflito(s) </w:t>
      </w:r>
      <w:r>
        <w:rPr>
          <w:rFonts w:ascii="Garamond" w:eastAsia="Garamond" w:hAnsi="Garamond" w:cs="Garamond"/>
          <w:i/>
          <w:iCs/>
          <w:sz w:val="21"/>
          <w:szCs w:val="21"/>
        </w:rPr>
        <w:t xml:space="preserve">(obrigatória se marcada a opção anterior)</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Description of the conflict(s) (mandatory if the option above is ticked)</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p>
            <w:pPr>
              <w:spacing w:after="0"/>
              <w:rPr>
                <w:rFonts w:ascii="Garamond" w:eastAsia="Garamond" w:hAnsi="Garamond" w:cs="Garamond"/>
              </w:rPr>
            </w:pPr>
          </w:p>
          <w:p>
            <w:pPr>
              <w:spacing w:after="0"/>
              <w:rPr>
                <w:rFonts w:ascii="Garamond" w:eastAsia="Garamond" w:hAnsi="Garamond" w:cs="Garamond"/>
              </w:rPr>
            </w:pPr>
          </w:p>
        </w:tc>
      </w:tr>
    </w:tbl>
    <w:p>
      <w:pPr>
        <w:spacing w:after="160"/>
        <w:rPr>
          <w:rFonts w:ascii="Garamond" w:eastAsia="Garamond" w:hAnsi="Garamond" w:cs="Garamond"/>
        </w:rPr>
      </w:pPr>
    </w:p>
    <w:p>
      <w:pPr>
        <w:spacing w:before="200" w:after="60"/>
        <w:rPr>
          <w:rFonts w:ascii="Garamond" w:eastAsia="Garamond" w:hAnsi="Garamond" w:cs="Garamond"/>
        </w:rPr>
      </w:pPr>
      <w:r>
        <w:rPr>
          <w:rFonts w:ascii="Garamond" w:eastAsia="Garamond" w:hAnsi="Garamond" w:cs="Garamond"/>
          <w:b/>
          <w:bCs/>
          <w:color w:val="000000"/>
          <w:sz w:val="21"/>
          <w:szCs w:val="21"/>
        </w:rPr>
        <w:t xml:space="preserve">Financiamento</w:t>
      </w:r>
      <w:r>
        <w:rPr>
          <w:rFonts w:ascii="Garamond" w:eastAsia="Garamond" w:hAnsi="Garamond" w:cs="Garamond"/>
          <w:b/>
          <w:bCs/>
          <w:sz w:val="21"/>
          <w:szCs w:val="21"/>
        </w:rPr>
        <w:t xml:space="preserve">  /  </w:t>
      </w:r>
      <w:r>
        <w:rPr>
          <w:rFonts w:ascii="Garamond" w:eastAsia="Garamond" w:hAnsi="Garamond" w:cs="Garamond"/>
          <w:b/>
          <w:bCs/>
          <w:i/>
          <w:iCs/>
          <w:color w:val="595959"/>
          <w:sz w:val="21"/>
          <w:szCs w:val="21"/>
        </w:rPr>
        <w:t xml:space="preserve">Funding</w:t>
      </w:r>
    </w:p>
    <w:p>
      <w:pPr>
        <w:spacing w:after="40"/>
        <w:ind w:left="284"/>
        <w:rPr>
          <w:rFonts w:ascii="Garamond" w:eastAsia="Garamond" w:hAnsi="Garamond" w:cs="Garamond"/>
        </w:rPr>
      </w:pPr>
      <w:r>
        <w:rPr>
          <w:rFonts w:ascii="Garamond" w:eastAsia="Garamond" w:hAnsi="Garamond" w:cs="Garamond"/>
          <w:sz w:val="21"/>
          <w:szCs w:val="21"/>
        </w:rPr>
        <w:t xml:space="preserve">[    ]  A pesquisa não recebeu financiamento.  /  </w:t>
      </w:r>
      <w:r>
        <w:rPr>
          <w:rFonts w:ascii="Garamond" w:eastAsia="Garamond" w:hAnsi="Garamond" w:cs="Garamond"/>
          <w:i/>
          <w:iCs/>
          <w:color w:val="595959"/>
          <w:sz w:val="21"/>
          <w:szCs w:val="21"/>
        </w:rPr>
        <w:t xml:space="preserve">The research received no funding.</w:t>
      </w:r>
    </w:p>
    <w:p>
      <w:pPr>
        <w:spacing w:after="40"/>
        <w:ind w:left="284"/>
        <w:rPr>
          <w:rFonts w:ascii="Garamond" w:eastAsia="Garamond" w:hAnsi="Garamond" w:cs="Garamond"/>
        </w:rPr>
      </w:pPr>
      <w:r>
        <w:rPr>
          <w:rFonts w:ascii="Garamond" w:eastAsia="Garamond" w:hAnsi="Garamond" w:cs="Garamond"/>
          <w:sz w:val="21"/>
          <w:szCs w:val="21"/>
        </w:rPr>
        <w:t xml:space="preserve">[    ]  A pesquisa recebeu financiamento, conforme descrito abaixo.  /  </w:t>
      </w:r>
      <w:r>
        <w:rPr>
          <w:rFonts w:ascii="Garamond" w:eastAsia="Garamond" w:hAnsi="Garamond" w:cs="Garamond"/>
          <w:i/>
          <w:iCs/>
          <w:color w:val="595959"/>
          <w:sz w:val="21"/>
          <w:szCs w:val="21"/>
        </w:rPr>
        <w:t xml:space="preserve">The research received funding, as described below.</w:t>
      </w:r>
    </w:p>
    <w:p>
      <w:pPr>
        <w:rPr>
          <w:rFonts w:ascii="Garamond" w:eastAsia="Garamond" w:hAnsi="Garamond" w:cs="Garamond"/>
        </w:rPr>
      </w:pPr>
    </w:p>
    <w:p>
      <w:pPr>
        <w:spacing w:after="0"/>
        <w:rPr>
          <w:rFonts w:ascii="Garamond" w:eastAsia="Garamond" w:hAnsi="Garamond" w:cs="Garamond"/>
        </w:rPr>
      </w:pPr>
      <w:r>
        <w:rPr>
          <w:rFonts w:ascii="Garamond" w:eastAsia="Garamond" w:hAnsi="Garamond" w:cs="Garamond"/>
          <w:b/>
          <w:bCs/>
          <w:sz w:val="21"/>
          <w:szCs w:val="21"/>
        </w:rPr>
        <w:t xml:space="preserve">Fontes de financiamento </w:t>
      </w:r>
      <w:r>
        <w:rPr>
          <w:rFonts w:ascii="Garamond" w:eastAsia="Garamond" w:hAnsi="Garamond" w:cs="Garamond"/>
          <w:i/>
          <w:iCs/>
          <w:sz w:val="21"/>
          <w:szCs w:val="21"/>
        </w:rPr>
        <w:t xml:space="preserve">(agência, programa, número do processo/bolsa)</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Funding sources (agency, programme, grant number)</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p>
            <w:pPr>
              <w:spacing w:after="0"/>
              <w:rPr>
                <w:rFonts w:ascii="Garamond" w:eastAsia="Garamond" w:hAnsi="Garamond" w:cs="Garamond"/>
              </w:rPr>
            </w:pPr>
          </w:p>
        </w:tc>
      </w:tr>
    </w:tbl>
    <w:p>
      <w:pPr>
        <w:spacing w:after="140"/>
        <w:rPr>
          <w:rFonts w:ascii="Garamond" w:eastAsia="Garamond" w:hAnsi="Garamond" w:cs="Garamond"/>
        </w:rPr>
      </w:pPr>
    </w:p>
    <w:p>
      <w:pPr>
        <w:spacing w:after="0"/>
        <w:jc w:val="both"/>
        <w:rPr>
          <w:rFonts w:ascii="Garamond" w:eastAsia="Garamond" w:hAnsi="Garamond" w:cs="Garamond"/>
        </w:rPr>
      </w:pPr>
      <w:r>
        <w:rPr>
          <w:rFonts w:ascii="Garamond" w:eastAsia="Garamond" w:hAnsi="Garamond" w:cs="Garamond"/>
          <w:sz w:val="21"/>
          <w:szCs w:val="21"/>
        </w:rPr>
        <w:t xml:space="preserve">Na modalidade de Avaliação Cega Tradicional, esta informação é prestada exclusivamente à editoria por meio deste Formulário e será incorporada ao texto somente após o aceite, preservando-se a anonimização durante a avaliação.</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Under the Double Blind Peer Review option, this information is provided exclusively to the editorial team through this Form and will be incorporated into the text only after acceptance, preserving anonymisation during the review.</w:t>
      </w: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7 – USO DE INTELIGÊNCIA ARTIFICIAL</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7 – USE OF ARTIFICIAL INTELLIGENCE</w:t>
      </w:r>
    </w:p>
    <w:p>
      <w:pPr>
        <w:spacing w:after="120"/>
        <w:rPr>
          <w:rFonts w:ascii="Garamond" w:eastAsia="Garamond" w:hAnsi="Garamond" w:cs="Garamond"/>
        </w:rPr>
      </w:pPr>
      <w:r>
        <w:rPr>
          <w:rFonts w:ascii="Garamond" w:eastAsia="Garamond" w:hAnsi="Garamond" w:cs="Garamond"/>
          <w:sz w:val="21"/>
          <w:szCs w:val="21"/>
        </w:rPr>
        <w:t xml:space="preserve">Política completa: </w:t>
      </w:r>
      <w:hyperlink r:id="rId109">
        <w:r>
          <w:rPr>
            <w:rFonts w:ascii="Garamond" w:eastAsia="Garamond" w:hAnsi="Garamond" w:cs="Garamond"/>
            <w:color w:val="0563C1"/>
            <w:u w:val="single"/>
            <w:sz w:val="21"/>
            <w:szCs w:val="21"/>
          </w:rPr>
          <w:t xml:space="preserve">https://ojs.unifor.br/rpen/usodaia</w:t>
        </w:r>
      </w:hyperlink>
    </w:p>
    <w:p>
      <w:pPr>
        <w:spacing w:after="40"/>
        <w:ind w:left="284"/>
        <w:rPr>
          <w:rFonts w:ascii="Garamond" w:eastAsia="Garamond" w:hAnsi="Garamond" w:cs="Garamond"/>
        </w:rPr>
      </w:pPr>
      <w:r>
        <w:rPr>
          <w:rFonts w:ascii="Garamond" w:eastAsia="Garamond" w:hAnsi="Garamond" w:cs="Garamond"/>
          <w:sz w:val="21"/>
          <w:szCs w:val="21"/>
        </w:rPr>
        <w:t xml:space="preserve">[    ]  Declaro que não foi utilizada ferramenta de Inteligência Artificial generativa na elaboração deste manuscrito.  /  </w:t>
      </w:r>
      <w:r>
        <w:rPr>
          <w:rFonts w:ascii="Garamond" w:eastAsia="Garamond" w:hAnsi="Garamond" w:cs="Garamond"/>
          <w:i/>
          <w:iCs/>
          <w:color w:val="595959"/>
          <w:sz w:val="21"/>
          <w:szCs w:val="21"/>
        </w:rPr>
        <w:t xml:space="preserve">I declare that no generative Artificial Intelligence tool was used in the preparation of this manuscript.</w:t>
      </w:r>
    </w:p>
    <w:p>
      <w:pPr>
        <w:spacing w:after="120"/>
        <w:ind w:left="284"/>
        <w:rPr>
          <w:rFonts w:ascii="Garamond" w:eastAsia="Garamond" w:hAnsi="Garamond" w:cs="Garamond"/>
        </w:rPr>
      </w:pPr>
      <w:r>
        <w:rPr>
          <w:rFonts w:ascii="Garamond" w:eastAsia="Garamond" w:hAnsi="Garamond" w:cs="Garamond"/>
          <w:sz w:val="21"/>
          <w:szCs w:val="21"/>
        </w:rPr>
        <w:t xml:space="preserve">[    ]  Declaro que foi utilizada ferramenta de Inteligência Artificial generativa, conforme descrito abaixo.  /  </w:t>
      </w:r>
      <w:r>
        <w:rPr>
          <w:rFonts w:ascii="Garamond" w:eastAsia="Garamond" w:hAnsi="Garamond" w:cs="Garamond"/>
          <w:i/>
          <w:iCs/>
          <w:color w:val="595959"/>
          <w:sz w:val="21"/>
          <w:szCs w:val="21"/>
        </w:rPr>
        <w:t xml:space="preserve">I declare that a generative Artificial Intelligence tool was used, as described below.</w:t>
      </w:r>
    </w:p>
    <w:p>
      <w:pPr>
        <w:spacing w:after="0"/>
        <w:rPr>
          <w:rFonts w:ascii="Garamond" w:eastAsia="Garamond" w:hAnsi="Garamond" w:cs="Garamond"/>
        </w:rPr>
      </w:pPr>
      <w:r>
        <w:rPr>
          <w:rFonts w:ascii="Garamond" w:eastAsia="Garamond" w:hAnsi="Garamond" w:cs="Garamond"/>
          <w:b/>
          <w:bCs/>
          <w:sz w:val="21"/>
          <w:szCs w:val="21"/>
        </w:rPr>
        <w:t xml:space="preserve">Descrição do uso </w:t>
      </w:r>
      <w:r>
        <w:rPr>
          <w:rFonts w:ascii="Garamond" w:eastAsia="Garamond" w:hAnsi="Garamond" w:cs="Garamond"/>
          <w:i/>
          <w:iCs/>
          <w:sz w:val="21"/>
          <w:szCs w:val="21"/>
        </w:rPr>
        <w:t xml:space="preserve">(ferramenta, versão e finalidade; obrigatória se marcada a opção anterior)</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Description of use (tool, version and purpose; mandatory if the option above is ticked)</w:t>
      </w:r>
      <w:r>
        <w:rPr>
          <w:rFonts w:ascii="Garamond" w:eastAsia="Garamond" w:hAnsi="Garamond" w:cs="Garamond"/>
          <w:sz w:val="21"/>
          <w:szCs w:val="21"/>
        </w:rPr>
        <w:t xml:space="preserve">:</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8640"/>
      </w:tblGrid>
      <w:tr>
        <w:tc>
          <w:tcPr>
            <w:tcW w:w="8640" w:type="dxa"/>
          </w:tcPr>
          <w:p>
            <w:pPr>
              <w:spacing w:after="0"/>
              <w:rPr>
                <w:rFonts w:ascii="Garamond" w:eastAsia="Garamond" w:hAnsi="Garamond" w:cs="Garamond"/>
              </w:rPr>
            </w:pPr>
          </w:p>
          <w:p>
            <w:pPr>
              <w:spacing w:after="0"/>
              <w:rPr>
                <w:rFonts w:ascii="Garamond" w:eastAsia="Garamond" w:hAnsi="Garamond" w:cs="Garamond"/>
              </w:rPr>
            </w:pPr>
          </w:p>
        </w:tc>
      </w:tr>
    </w:tbl>
    <w:p>
      <w:pPr>
        <w:spacing w:after="120"/>
        <w:rPr>
          <w:rFonts w:ascii="Garamond" w:eastAsia="Garamond" w:hAnsi="Garamond" w:cs="Garamond"/>
        </w:rPr>
      </w:pPr>
    </w:p>
    <w:p>
      <w:pPr>
        <w:spacing w:after="0"/>
        <w:jc w:val="both"/>
        <w:rPr>
          <w:rFonts w:ascii="Garamond" w:eastAsia="Garamond" w:hAnsi="Garamond" w:cs="Garamond"/>
        </w:rPr>
      </w:pPr>
      <w:r>
        <w:rPr>
          <w:rFonts w:ascii="Garamond" w:eastAsia="Garamond" w:hAnsi="Garamond" w:cs="Garamond"/>
          <w:sz w:val="21"/>
          <w:szCs w:val="21"/>
        </w:rPr>
        <w:t xml:space="preserve">Havendo uso, a mesma declaração deve constar também na introdução do manuscrito.</w:t>
      </w:r>
    </w:p>
    <w:p>
      <w:pPr>
        <w:spacing w:after="120"/>
        <w:jc w:val="both"/>
        <w:rPr>
          <w:rFonts w:ascii="Garamond" w:eastAsia="Garamond" w:hAnsi="Garamond" w:cs="Garamond"/>
        </w:rPr>
      </w:pPr>
      <w:r>
        <w:rPr>
          <w:rFonts w:ascii="Garamond" w:eastAsia="Garamond" w:hAnsi="Garamond" w:cs="Garamond"/>
          <w:i/>
          <w:iCs/>
          <w:color w:val="595959"/>
          <w:sz w:val="21"/>
          <w:szCs w:val="21"/>
        </w:rPr>
        <w:t xml:space="preserve">If Artificial Intelligence was used, the same statement must also appear in the introduction of the manuscript.</w:t>
      </w:r>
    </w:p>
    <w:p>
      <w:pPr>
        <w:pStyle w:val="Ttulo2"/>
        <w:spacing w:before="280" w:after="0"/>
        <w:jc w:val="center"/>
        <w:rPr>
          <w:rFonts w:ascii="Garamond" w:eastAsia="Garamond" w:hAnsi="Garamond" w:cs="Garamond"/>
        </w:rPr>
      </w:pPr>
      <w:r>
        <w:rPr>
          <w:rFonts w:ascii="Garamond" w:eastAsia="Garamond" w:hAnsi="Garamond" w:cs="Garamond"/>
          <w:b/>
          <w:bCs/>
          <w:color w:val="000000"/>
          <w:sz w:val="22"/>
          <w:szCs w:val="22"/>
        </w:rPr>
        <w:t xml:space="preserve">PARTE 8 – DECLARAÇÃO FINAL DOS AUTORES</w:t>
      </w:r>
    </w:p>
    <w:p>
      <w:pPr>
        <w:spacing w:after="120"/>
        <w:jc w:val="center"/>
        <w:rPr>
          <w:rFonts w:ascii="Garamond" w:eastAsia="Garamond" w:hAnsi="Garamond" w:cs="Garamond"/>
        </w:rPr>
      </w:pPr>
      <w:r>
        <w:rPr>
          <w:rFonts w:ascii="Garamond" w:eastAsia="Garamond" w:hAnsi="Garamond" w:cs="Garamond"/>
          <w:b/>
          <w:bCs/>
          <w:i/>
          <w:iCs/>
          <w:color w:val="595959"/>
          <w:sz w:val="21"/>
          <w:szCs w:val="21"/>
        </w:rPr>
        <w:t xml:space="preserve">PART 8 – FINAL DECLARATION BY THE AUTHORS</w:t>
      </w:r>
    </w:p>
    <w:p>
      <w:pPr>
        <w:spacing w:after="40"/>
        <w:ind w:left="284"/>
        <w:rPr>
          <w:rFonts w:ascii="Garamond" w:eastAsia="Garamond" w:hAnsi="Garamond" w:cs="Garamond"/>
        </w:rPr>
      </w:pPr>
      <w:r>
        <w:rPr>
          <w:rFonts w:ascii="Garamond" w:eastAsia="Garamond" w:hAnsi="Garamond" w:cs="Garamond"/>
          <w:sz w:val="21"/>
          <w:szCs w:val="21"/>
        </w:rPr>
        <w:t xml:space="preserve">[    ]  Confirmo que todas as informações acima são verdadeiras e foram preenchidas com ciência de todos os autores.  /  </w:t>
      </w:r>
      <w:r>
        <w:rPr>
          <w:rFonts w:ascii="Garamond" w:eastAsia="Garamond" w:hAnsi="Garamond" w:cs="Garamond"/>
          <w:i/>
          <w:iCs/>
          <w:color w:val="595959"/>
          <w:sz w:val="21"/>
          <w:szCs w:val="21"/>
        </w:rPr>
        <w:t xml:space="preserve">I confirm that all the information above is true and was completed with the knowledge of all authors.</w:t>
      </w:r>
    </w:p>
    <w:p>
      <w:pPr>
        <w:spacing w:after="40"/>
        <w:ind w:left="284"/>
        <w:rPr>
          <w:rFonts w:ascii="Garamond" w:eastAsia="Garamond" w:hAnsi="Garamond" w:cs="Garamond"/>
        </w:rPr>
      </w:pPr>
      <w:r>
        <w:rPr>
          <w:rFonts w:ascii="Garamond" w:eastAsia="Garamond" w:hAnsi="Garamond" w:cs="Garamond"/>
          <w:sz w:val="21"/>
          <w:szCs w:val="21"/>
        </w:rPr>
        <w:t xml:space="preserve">[    ]  Declaro ciência da Declaração de Privacidade da revista (</w:t>
      </w:r>
      <w:hyperlink r:id="rId108">
        <w:r>
          <w:rPr>
            <w:rFonts w:ascii="Garamond" w:eastAsia="Garamond" w:hAnsi="Garamond" w:cs="Garamond"/>
            <w:color w:val="0563C1"/>
            <w:u w:val="single"/>
            <w:sz w:val="21"/>
            <w:szCs w:val="21"/>
          </w:rPr>
          <w:t xml:space="preserve">https://ojs.unifor.br/rpen/privacidade</w:t>
        </w:r>
      </w:hyperlink>
      <w:r>
        <w:rPr>
          <w:rFonts w:ascii="Garamond" w:eastAsia="Garamond" w:hAnsi="Garamond" w:cs="Garamond"/>
          <w:sz w:val="21"/>
          <w:szCs w:val="21"/>
        </w:rPr>
        <w:t xml:space="preserve">) e de que este formulário será publicado com o artigo, se aprovado, em versão pública, sem telefone, autodeclarações de gênero e de raça/cor e assinaturas, nos termos da LGPD.  /  </w:t>
      </w:r>
      <w:r>
        <w:rPr>
          <w:rFonts w:ascii="Garamond" w:eastAsia="Garamond" w:hAnsi="Garamond" w:cs="Garamond"/>
          <w:i/>
          <w:iCs/>
          <w:color w:val="595959"/>
          <w:sz w:val="21"/>
          <w:szCs w:val="21"/>
        </w:rPr>
        <w:t xml:space="preserve">I acknowledge the journal's Privacy Statement and that this form will be published with the article, if approved, in a public version, without phone number, gender and race/colour self-declarations and signatures, in accordance with the Brazilian General Data Protection Law (LGPD).</w:t>
      </w:r>
    </w:p>
    <w:p>
      <w:pPr>
        <w:rPr>
          <w:rFonts w:ascii="Garamond" w:eastAsia="Garamond" w:hAnsi="Garamond" w:cs="Garamond"/>
        </w:rPr>
      </w:pPr>
    </w:p>
    <w:p>
      <w:pPr>
        <w:spacing w:after="60"/>
        <w:rPr>
          <w:rFonts w:ascii="Garamond" w:eastAsia="Garamond" w:hAnsi="Garamond" w:cs="Garamond"/>
        </w:rPr>
      </w:pPr>
      <w:r>
        <w:rPr>
          <w:rFonts w:ascii="Garamond" w:eastAsia="Garamond" w:hAnsi="Garamond" w:cs="Garamond"/>
          <w:b/>
          <w:bCs/>
          <w:sz w:val="21"/>
          <w:szCs w:val="21"/>
        </w:rPr>
        <w:t xml:space="preserve">Assinatura de todos os autores </w:t>
      </w:r>
      <w:r>
        <w:rPr>
          <w:rFonts w:ascii="Garamond" w:eastAsia="Garamond" w:hAnsi="Garamond" w:cs="Garamond"/>
          <w:i/>
          <w:iCs/>
          <w:sz w:val="21"/>
          <w:szCs w:val="21"/>
        </w:rPr>
        <w:t xml:space="preserve">(pode ser digital ou escaneada)</w:t>
      </w:r>
      <w:r>
        <w:rPr>
          <w:rFonts w:ascii="Garamond" w:eastAsia="Garamond" w:hAnsi="Garamond" w:cs="Garamond"/>
          <w:sz w:val="21"/>
          <w:szCs w:val="21"/>
        </w:rPr>
        <w:t xml:space="preserve">  /  </w:t>
      </w:r>
      <w:r>
        <w:rPr>
          <w:rFonts w:ascii="Garamond" w:eastAsia="Garamond" w:hAnsi="Garamond" w:cs="Garamond"/>
          <w:i/>
          <w:iCs/>
          <w:color w:val="595959"/>
          <w:sz w:val="21"/>
          <w:szCs w:val="21"/>
        </w:rPr>
        <w:t xml:space="preserve">Signature of all authors (digital or scanned)</w:t>
      </w:r>
      <w:r>
        <w:rPr>
          <w:rFonts w:ascii="Garamond" w:eastAsia="Garamond" w:hAnsi="Garamond" w:cs="Garamond"/>
          <w:sz w:val="21"/>
          <w:szCs w:val="21"/>
        </w:rPr>
        <w:t xml:space="preserve">:</w:t>
      </w:r>
    </w:p>
    <w:p>
      <w:pPr>
        <w:spacing w:after="60"/>
        <w:jc w:val="both"/>
        <w:rPr>
          <w:rFonts w:ascii="Garamond" w:eastAsia="Garamond" w:hAnsi="Garamond" w:cs="Garamond"/>
        </w:rPr>
      </w:pPr>
      <w:r>
        <w:rPr>
          <w:rFonts w:ascii="Garamond" w:eastAsia="Garamond" w:hAnsi="Garamond" w:cs="Garamond"/>
          <w:sz w:val="21"/>
          <w:szCs w:val="21"/>
        </w:rPr>
        <w:t xml:space="preserve">As assinaturas são suprimidas da versão pública do formulário. Assinaturas com certificado digital podem conter o número do CPF do signatário.  /  </w:t>
      </w:r>
      <w:r>
        <w:rPr>
          <w:rFonts w:ascii="Garamond" w:eastAsia="Garamond" w:hAnsi="Garamond" w:cs="Garamond"/>
          <w:i/>
          <w:iCs/>
          <w:color w:val="595959"/>
          <w:sz w:val="21"/>
          <w:szCs w:val="21"/>
        </w:rPr>
        <w:t xml:space="preserve">Signatures are removed from the public version of the form. Digitally certified signatures may contain the signer's CPF (Brazilian taxpayer number).</w:t>
      </w:r>
    </w:p>
    <w:tbl>
      <w:tblPr>
        <w:tblW w:w="52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5200"/>
      </w:tblGrid>
      <w:tr>
        <w:tc>
          <w:tcPr>
            <w:tcW w:w="5200" w:type="dxa"/>
          </w:tcPr>
          <w:p>
            <w:pPr>
              <w:spacing w:after="0"/>
              <w:rPr>
                <w:rFonts w:ascii="Garamond" w:eastAsia="Garamond" w:hAnsi="Garamond" w:cs="Garamond"/>
              </w:rPr>
            </w:pPr>
          </w:p>
          <w:p>
            <w:pPr>
              <w:spacing w:after="0"/>
              <w:rPr>
                <w:rFonts w:ascii="Garamond" w:eastAsia="Garamond" w:hAnsi="Garamond" w:cs="Garamond"/>
              </w:rPr>
            </w:pPr>
          </w:p>
        </w:tc>
      </w:tr>
    </w:tbl>
    <w:p>
      <w:pPr>
        <w:spacing w:after="140"/>
        <w:rPr>
          <w:rFonts w:ascii="Garamond" w:eastAsia="Garamond" w:hAnsi="Garamond" w:cs="Garamond"/>
        </w:rPr>
      </w:pPr>
    </w:p>
    <w:p>
      <w:pPr>
        <w:spacing w:after="60"/>
        <w:rPr>
          <w:rFonts w:ascii="Garamond" w:eastAsia="Garamond" w:hAnsi="Garamond" w:cs="Garamond"/>
        </w:rPr>
      </w:pPr>
      <w:r>
        <w:rPr>
          <w:rFonts w:ascii="Garamond" w:eastAsia="Garamond" w:hAnsi="Garamond" w:cs="Garamond"/>
          <w:b/>
          <w:bCs/>
          <w:sz w:val="21"/>
          <w:szCs w:val="21"/>
        </w:rPr>
        <w:t xml:space="preserve">Data  /  </w:t>
      </w:r>
      <w:r>
        <w:rPr>
          <w:rFonts w:ascii="Garamond" w:eastAsia="Garamond" w:hAnsi="Garamond" w:cs="Garamond"/>
          <w:i/>
          <w:iCs/>
          <w:color w:val="595959"/>
          <w:sz w:val="21"/>
          <w:szCs w:val="21"/>
        </w:rPr>
        <w:t xml:space="preserve">Date</w:t>
      </w:r>
      <w:r>
        <w:rPr>
          <w:rFonts w:ascii="Garamond" w:eastAsia="Garamond" w:hAnsi="Garamond" w:cs="Garamond"/>
          <w:sz w:val="21"/>
          <w:szCs w:val="21"/>
        </w:rPr>
        <w:t xml:space="preserve">:</w:t>
      </w:r>
    </w:p>
    <w:tbl>
      <w:tblPr>
        <w:tblW w:w="26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8" w:type="dxa"/>
          <w:bottom w:w="60" w:type="dxa"/>
          <w:right w:w="108" w:type="dxa"/>
        </w:tblCellMar>
      </w:tblPr>
      <w:tblGrid>
        <w:gridCol w:w="2600"/>
      </w:tblGrid>
      <w:tr>
        <w:tc>
          <w:tcPr>
            <w:tcW w:w="2600" w:type="dxa"/>
          </w:tcPr>
          <w:p>
            <w:pPr>
              <w:spacing w:after="0"/>
              <w:rPr>
                <w:rFonts w:ascii="Garamond" w:eastAsia="Garamond" w:hAnsi="Garamond" w:cs="Garamond"/>
              </w:rPr>
            </w:pPr>
          </w:p>
        </w:tc>
      </w:tr>
    </w:tbl>
    <w:p>
      <w:pPr>
        <w:spacing w:after="0"/>
        <w:rPr>
          <w:rFonts w:ascii="Garamond" w:eastAsia="Garamond" w:hAnsi="Garamond" w:cs="Garamond"/>
        </w:rPr>
      </w:pPr>
    </w:p>
    <w:sectPr w:rsidR="00480EB4">
      <w:headerReference w:type="default" r:id="rId13"/>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CFA48" w14:textId="77777777" w:rsidR="007808F0" w:rsidRDefault="007808F0">
      <w:pPr>
        <w:spacing w:after="0" w:line="240" w:lineRule="auto"/>
      </w:pPr>
      <w:r>
        <w:separator/>
      </w:r>
    </w:p>
  </w:endnote>
  <w:endnote w:type="continuationSeparator" w:id="0">
    <w:p w14:paraId="13FBA419" w14:textId="77777777" w:rsidR="007808F0" w:rsidRDefault="0078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95FF40E-20FE-1C41-B5CF-5D7CBF2223C7}"/>
    <w:embedBold r:id="rId2" w:fontKey="{47D9790D-56B3-404D-A31E-D85D93985B3F}"/>
    <w:embedItalic r:id="rId3" w:fontKey="{5A5AFEE9-F8A2-D042-8FCF-93C714E96B47}"/>
    <w:embedBoldItalic r:id="rId4" w:fontKey="{7ECC81B3-AE08-F745-8D45-E87DE0E5FE65}"/>
  </w:font>
  <w:font w:name="Noto Sans Symbols">
    <w:panose1 w:val="020B0604020202020204"/>
    <w:charset w:val="00"/>
    <w:family w:val="auto"/>
    <w:pitch w:val="default"/>
    <w:embedRegular r:id="rId5" w:fontKey="{F92CB780-A920-0644-9AA8-DA78005B193F}"/>
  </w:font>
  <w:font w:name="Courier New">
    <w:panose1 w:val="02070309020205020404"/>
    <w:charset w:val="00"/>
    <w:family w:val="modern"/>
    <w:pitch w:val="fixed"/>
    <w:sig w:usb0="E0002AFF" w:usb1="C0007843" w:usb2="00000009" w:usb3="00000000" w:csb0="000001FF" w:csb1="00000000"/>
    <w:embedRegular r:id="rId6" w:fontKey="{06DE43A5-26A9-0249-918D-793362C19D95}"/>
  </w:font>
  <w:font w:name="Cambria">
    <w:panose1 w:val="02040503050406030204"/>
    <w:charset w:val="00"/>
    <w:family w:val="roman"/>
    <w:pitch w:val="variable"/>
    <w:sig w:usb0="E00002FF" w:usb1="400004FF" w:usb2="00000000" w:usb3="00000000" w:csb0="0000019F" w:csb1="00000000"/>
    <w:embedRegular r:id="rId7" w:fontKey="{BCE50CDD-D4ED-D54D-8BD3-2347DFB4A34F}"/>
    <w:embedBold r:id="rId8" w:fontKey="{6DD06AB9-2725-EA4A-B155-F7F2301E59F2}"/>
    <w:embedItalic r:id="rId9" w:fontKey="{97203A93-3E9F-244D-984F-3E079F9F2D6A}"/>
    <w:embedBoldItalic r:id="rId10" w:fontKey="{F58D8AEE-43E0-6847-9EE3-4B8D4E9ED637}"/>
  </w:font>
  <w:font w:name="Calibri">
    <w:panose1 w:val="020F0502020204030204"/>
    <w:charset w:val="00"/>
    <w:family w:val="swiss"/>
    <w:pitch w:val="variable"/>
    <w:sig w:usb0="E0002AFF" w:usb1="C000247B" w:usb2="00000009" w:usb3="00000000" w:csb0="000001FF" w:csb1="00000000"/>
    <w:embedRegular r:id="rId11" w:fontKey="{3D08DB33-286F-094E-8DF9-CA3E2D12415E}"/>
    <w:embedBold r:id="rId12" w:fontKey="{D6902AA9-D337-2740-BF47-F4939971A7D8}"/>
    <w:embedItalic r:id="rId13" w:fontKey="{9DD25F2C-6ED5-9347-A386-56E38A3391AF}"/>
    <w:embedBoldItalic r:id="rId14" w:fontKey="{54210273-3467-8B44-84A6-4AC9A7122FDC}"/>
  </w:font>
  <w:font w:name="Courier">
    <w:panose1 w:val="02070309020205020404"/>
    <w:charset w:val="00"/>
    <w:family w:val="auto"/>
    <w:pitch w:val="variable"/>
    <w:sig w:usb0="00000003" w:usb1="00000000" w:usb2="00000000" w:usb3="00000000" w:csb0="00000001" w:csb1="00000000"/>
    <w:embedRegular r:id="rId15" w:fontKey="{95F83BC1-A3FA-CE47-AC56-289452A16A7E}"/>
  </w:font>
  <w:font w:name="Garamond">
    <w:panose1 w:val="02020404030301010803"/>
    <w:charset w:val="00"/>
    <w:family w:val="roman"/>
    <w:pitch w:val="variable"/>
    <w:sig w:usb0="00000287" w:usb1="00000002" w:usb2="00000000" w:usb3="00000000" w:csb0="0000009F" w:csb1="00000000"/>
    <w:embedRegular r:id="rId16" w:fontKey="{084AA37C-A0DF-D047-BB25-3FC329D7892A}"/>
    <w:embedBold r:id="rId17" w:fontKey="{48696C39-ABD2-834A-BC7B-DBDC5B71ADD9}"/>
    <w:embedItalic r:id="rId18" w:fontKey="{780C72E1-B856-1247-9819-D9A1AA3315E8}"/>
    <w:embedBoldItalic r:id="rId19" w:fontKey="{8348084C-2CB5-3F44-B5E7-53A79CD9CF1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230A" w14:textId="77777777" w:rsidR="007808F0" w:rsidRDefault="007808F0">
      <w:pPr>
        <w:spacing w:after="0" w:line="240" w:lineRule="auto"/>
      </w:pPr>
      <w:r>
        <w:separator/>
      </w:r>
    </w:p>
  </w:footnote>
  <w:footnote w:type="continuationSeparator" w:id="0">
    <w:p w14:paraId="59805284" w14:textId="77777777" w:rsidR="007808F0" w:rsidRDefault="00780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28DD" w14:textId="77777777" w:rsidR="00480EB4"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BA6B9BD" wp14:editId="16304DF2">
          <wp:extent cx="5486400" cy="1125220"/>
          <wp:effectExtent l="0" t="0" r="0" b="0"/>
          <wp:docPr id="532163048" name="image1.png" descr="Placa azul com letras brancas em fundo pret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Placa azul com letras brancas em fundo preto&#10;&#10;O conteúdo gerado por IA pode estar incorreto."/>
                  <pic:cNvPicPr preferRelativeResize="0"/>
                </pic:nvPicPr>
                <pic:blipFill>
                  <a:blip r:embed="rId1"/>
                  <a:srcRect/>
                  <a:stretch>
                    <a:fillRect/>
                  </a:stretch>
                </pic:blipFill>
                <pic:spPr>
                  <a:xfrm>
                    <a:off x="0" y="0"/>
                    <a:ext cx="5486400" cy="1125220"/>
                  </a:xfrm>
                  <a:prstGeom prst="rect">
                    <a:avLst/>
                  </a:prstGeom>
                  <a:ln/>
                </pic:spPr>
              </pic:pic>
            </a:graphicData>
          </a:graphic>
        </wp:inline>
      </w:drawing>
    </w:r>
  </w:p>
  <w:p w14:paraId="08D86D79" w14:textId="77777777" w:rsidR="00480EB4" w:rsidRDefault="00480EB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4CAB"/>
    <w:multiLevelType w:val="multilevel"/>
    <w:tmpl w:val="0E4CC54A"/>
    <w:lvl w:ilvl="0">
      <w:start w:val="1"/>
      <w:numFmt w:val="decimal"/>
      <w:pStyle w:val="Commarcadores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DE61520"/>
    <w:multiLevelType w:val="multilevel"/>
    <w:tmpl w:val="405C7778"/>
    <w:lvl w:ilvl="0">
      <w:start w:val="1"/>
      <w:numFmt w:val="bullet"/>
      <w:pStyle w:val="Commarcadore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F236459"/>
    <w:multiLevelType w:val="multilevel"/>
    <w:tmpl w:val="0E982372"/>
    <w:lvl w:ilvl="0">
      <w:start w:val="1"/>
      <w:numFmt w:val="bullet"/>
      <w:pStyle w:val="Commarcadores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B7D4150"/>
    <w:multiLevelType w:val="multilevel"/>
    <w:tmpl w:val="A7B6630A"/>
    <w:lvl w:ilvl="0">
      <w:start w:val="1"/>
      <w:numFmt w:val="decimal"/>
      <w:pStyle w:val="Numera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97776422">
    <w:abstractNumId w:val="1"/>
  </w:num>
  <w:num w:numId="2" w16cid:durableId="363750568">
    <w:abstractNumId w:val="2"/>
  </w:num>
  <w:num w:numId="3" w16cid:durableId="259025918">
    <w:abstractNumId w:val="0"/>
  </w:num>
  <w:num w:numId="4" w16cid:durableId="1728260795">
    <w:abstractNumId w:val="3"/>
  </w:num>
  <w:num w:numId="5" w16cid:durableId="19281518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63566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EB4"/>
    <w:rsid w:val="000154F6"/>
    <w:rsid w:val="00186344"/>
    <w:rsid w:val="00480EB4"/>
    <w:rsid w:val="007808F0"/>
    <w:rsid w:val="00C73085"/>
    <w:rsid w:val="00DD2F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4A82A4E9"/>
  <w15:docId w15:val="{A6D7378D-21EC-1D4F-8E81-728789B9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uiPriority w:val="9"/>
    <w:rsid w:val="00FC693F"/>
    <w:rPr>
      <w:rFonts w:asciiTheme="majorHAnsi" w:eastAsiaTheme="majorEastAsia" w:hAnsiTheme="majorHAnsi" w:cstheme="majorBidi"/>
      <w:b/>
      <w:bCs/>
      <w:color w:val="4F81BD" w:themeColor="accent1"/>
    </w:rPr>
  </w:style>
  <w:style w:type="character" w:customStyle="1" w:styleId="TtuloChar">
    <w:name w:val="Título Char"/>
    <w:basedOn w:val="Fontepargpadro"/>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har">
    <w:name w:val="Subtítulo Char"/>
    <w:basedOn w:val="Fontepargpadr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4"/>
      </w:numPr>
      <w:contextualSpacing/>
    </w:pPr>
  </w:style>
  <w:style w:type="paragraph" w:styleId="Numerada2">
    <w:name w:val="List Number 2"/>
    <w:basedOn w:val="Normal"/>
    <w:uiPriority w:val="99"/>
    <w:unhideWhenUsed/>
    <w:rsid w:val="0029639D"/>
    <w:pPr>
      <w:tabs>
        <w:tab w:val="num" w:pos="720"/>
      </w:tabs>
      <w:ind w:left="720" w:hanging="720"/>
      <w:contextualSpacing/>
    </w:pPr>
  </w:style>
  <w:style w:type="paragraph" w:styleId="Numerada3">
    <w:name w:val="List Number 3"/>
    <w:basedOn w:val="Normal"/>
    <w:uiPriority w:val="99"/>
    <w:unhideWhenUsed/>
    <w:rsid w:val="0029639D"/>
    <w:pPr>
      <w:tabs>
        <w:tab w:val="num" w:pos="720"/>
      </w:tabs>
      <w:ind w:left="720" w:hanging="720"/>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next w:val="Normal"/>
    <w:uiPriority w:val="39"/>
    <w:semiHidden/>
    <w:unhideWhenUsed/>
    <w:qFormat/>
    <w:rsid w:val="00FC693F"/>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94A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6D4522"/>
    <w:rPr>
      <w:color w:val="0000FF" w:themeColor="hyperlink"/>
      <w:u w:val="single"/>
    </w:rPr>
  </w:style>
  <w:style w:type="character" w:styleId="MenoPendente">
    <w:name w:val="Unresolved Mention"/>
    <w:basedOn w:val="Fontepargpadro"/>
    <w:uiPriority w:val="99"/>
    <w:semiHidden/>
    <w:unhideWhenUsed/>
    <w:rsid w:val="006D4522"/>
    <w:rPr>
      <w:color w:val="605E5C"/>
      <w:shd w:val="clear" w:color="auto" w:fill="E1DFDD"/>
    </w:rPr>
  </w:style>
  <w:style w:type="paragraph" w:styleId="Subttulo">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 Id="rId100" Type="http://schemas.openxmlformats.org/officeDocument/2006/relationships/hyperlink" Target="https://ojs.unifor.br/rpen/about/submissions" TargetMode="External"/><Relationship Id="rId101" Type="http://schemas.openxmlformats.org/officeDocument/2006/relationships/hyperlink" Target="https://credit.niso.org/" TargetMode="External"/><Relationship Id="rId102" Type="http://schemas.openxmlformats.org/officeDocument/2006/relationships/hyperlink" Target="https://ojs.unifor.br/rpen/politicaeditorialcienciaaberta" TargetMode="External"/><Relationship Id="rId103" Type="http://schemas.openxmlformats.org/officeDocument/2006/relationships/hyperlink" Target="https://ojs.unifor.br/rpen/preprints" TargetMode="External"/><Relationship Id="rId104" Type="http://schemas.openxmlformats.org/officeDocument/2006/relationships/hyperlink" Target="https://www.icmje.org/recommendations/browse/roles-and-responsibilities/defining-the-role-of-authors-and-contributors.html" TargetMode="External"/><Relationship Id="rId105" Type="http://schemas.openxmlformats.org/officeDocument/2006/relationships/hyperlink" Target="https://ojs.unifor.br/rpen/conflitointeresse" TargetMode="External"/><Relationship Id="rId106" Type="http://schemas.openxmlformats.org/officeDocument/2006/relationships/hyperlink" Target="https://orcid.org/" TargetMode="External"/><Relationship Id="rId107" Type="http://schemas.openxmlformats.org/officeDocument/2006/relationships/hyperlink" Target="http://lattes.cnpq.br/" TargetMode="External"/><Relationship Id="rId108" Type="http://schemas.openxmlformats.org/officeDocument/2006/relationships/hyperlink" Target="https://ojs.unifor.br/rpen/privacidade" TargetMode="External"/><Relationship Id="rId109" Type="http://schemas.openxmlformats.org/officeDocument/2006/relationships/hyperlink" Target="https://ojs.unifor.br/rpen/usodai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Rvfm0Qs1V0r9lqEXGr8q3O3Ftw==">CgMxLjAyDWguZmhjYmx4MzQ5ZzAyDmguZmoxMzQ0Nmd2c25wMg5oLmVhZm9weTJmOTZqNDIOaC5naWJ4bGhwcDhqdGU4AHIhMWczTnQwSEJIRUVzMzJUdW01c1J1WU5IdzRRUExOT09f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1314</Words>
  <Characters>7100</Characters>
  <Application>Microsoft Office Word</Application>
  <DocSecurity>0</DocSecurity>
  <Lines>59</Lines>
  <Paragraphs>16</Paragraphs>
  <ScaleCrop>false</ScaleCrop>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Sidney Filho</cp:lastModifiedBy>
  <cp:revision>3</cp:revision>
  <dcterms:created xsi:type="dcterms:W3CDTF">2025-10-08T18:21:00Z</dcterms:created>
  <dcterms:modified xsi:type="dcterms:W3CDTF">2026-03-03T21:33:00Z</dcterms:modified>
</cp:coreProperties>
</file>