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tulo1"/>
        <w:spacing w:before="0"/>
        <w:jc w:val="center"/>
        <w:rPr>
          <w:rFonts w:ascii="Garamond" w:eastAsia="Garamond" w:hAnsi="Garamond" w:cs="Garamond"/>
        </w:rPr>
      </w:pPr>
      <w:r>
        <w:rPr>
          <w:rFonts w:ascii="Garamond" w:eastAsia="Garamond" w:hAnsi="Garamond" w:cs="Garamond"/>
          <w:b/>
          <w:bCs/>
          <w:color w:val="000000"/>
          <w:sz w:val="24"/>
          <w:szCs w:val="24"/>
        </w:rPr>
        <w:t xml:space="preserve">FORMULÁRIO DE SUBMISSÃO – DADOS DOS AUTORES, CIÊNCIA ABERTA E IDEIA</w:t>
      </w:r>
    </w:p>
    <w:p>
      <w:pPr>
        <w:spacing w:after="120"/>
        <w:jc w:val="center"/>
        <w:rPr>
          <w:rFonts w:ascii="Garamond" w:eastAsia="Garamond" w:hAnsi="Garamond" w:cs="Garamond"/>
        </w:rPr>
      </w:pPr>
      <w:r>
        <w:rPr>
          <w:rFonts w:ascii="Garamond" w:eastAsia="Garamond" w:hAnsi="Garamond" w:cs="Garamond"/>
          <w:b/>
          <w:bCs/>
          <w:i/>
          <w:iCs/>
          <w:color w:val="595959"/>
          <w:sz w:val="24"/>
          <w:szCs w:val="24"/>
        </w:rPr>
        <w:t xml:space="preserve">SUBMISSION FORM – AUTHOR DATA, OPEN SCIENCE AND IDEIA</w:t>
      </w:r>
    </w:p>
    <w:p>
      <w:pPr>
        <w:spacing w:after="200"/>
        <w:jc w:val="center"/>
        <w:rPr>
          <w:rFonts w:ascii="Garamond" w:eastAsia="Garamond" w:hAnsi="Garamond" w:cs="Garamond"/>
        </w:rPr>
      </w:pPr>
      <w:r>
        <w:rPr>
          <w:rFonts w:ascii="Garamond" w:eastAsia="Garamond" w:hAnsi="Garamond" w:cs="Garamond"/>
          <w:b/>
          <w:bCs/>
          <w:sz w:val="21"/>
          <w:szCs w:val="21"/>
        </w:rPr>
        <w:t xml:space="preserve">Última atualização</w:t>
      </w:r>
      <w:r>
        <w:rPr>
          <w:rFonts w:ascii="Garamond" w:eastAsia="Garamond" w:hAnsi="Garamond" w:cs="Garamond"/>
          <w:sz w:val="21"/>
          <w:szCs w:val="21"/>
        </w:rPr>
        <w:t xml:space="preserve">  /  </w:t>
      </w:r>
      <w:r>
        <w:rPr>
          <w:rFonts w:ascii="Garamond" w:eastAsia="Garamond" w:hAnsi="Garamond" w:cs="Garamond"/>
          <w:b/>
          <w:bCs/>
          <w:i/>
          <w:iCs/>
          <w:color w:val="595959"/>
          <w:sz w:val="21"/>
          <w:szCs w:val="21"/>
        </w:rPr>
        <w:t xml:space="preserve">Last updated</w:t>
      </w:r>
      <w:r>
        <w:rPr>
          <w:rFonts w:ascii="Garamond" w:eastAsia="Garamond" w:hAnsi="Garamond" w:cs="Garamond"/>
          <w:b/>
          <w:bCs/>
          <w:sz w:val="21"/>
          <w:szCs w:val="21"/>
        </w:rPr>
        <w:t xml:space="preserve">: </w:t>
      </w:r>
      <w:r>
        <w:rPr>
          <w:rFonts w:ascii="Garamond" w:eastAsia="Garamond" w:hAnsi="Garamond" w:cs="Garamond"/>
          <w:sz w:val="21"/>
          <w:szCs w:val="21"/>
        </w:rPr>
        <w:t xml:space="preserve">17/07/2026</w:t>
      </w:r>
    </w:p>
    <w:p>
      <w:pPr>
        <w:spacing w:after="0"/>
        <w:jc w:val="both"/>
        <w:rPr>
          <w:rFonts w:ascii="Garamond" w:eastAsia="Garamond" w:hAnsi="Garamond" w:cs="Garamond"/>
        </w:rPr>
      </w:pPr>
      <w:r>
        <w:rPr>
          <w:rFonts w:ascii="Garamond" w:eastAsia="Garamond" w:hAnsi="Garamond" w:cs="Garamond"/>
          <w:sz w:val="21"/>
          <w:szCs w:val="21"/>
        </w:rPr>
        <w:t xml:space="preserve">Este formulário é bilíngue (português/inglês). Há um único conjunto de campos: preencha-os no idioma do seu manuscrito.</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This form is bilingual (Portuguese/English). There is a single set of fields: complete them in the language of your manuscript.</w:t>
      </w:r>
    </w:p>
    <w:p>
      <w:pPr>
        <w:spacing w:after="60"/>
        <w:rPr>
          <w:rFonts w:ascii="Garamond" w:eastAsia="Garamond" w:hAnsi="Garamond" w:cs="Garamond"/>
        </w:rPr>
      </w:pPr>
      <w:r>
        <w:rPr>
          <w:rFonts w:ascii="Garamond" w:eastAsia="Garamond" w:hAnsi="Garamond" w:cs="Garamond"/>
          <w:b/>
          <w:bCs/>
          <w:sz w:val="21"/>
          <w:szCs w:val="21"/>
        </w:rPr>
        <w:t xml:space="preserve">Título do Manuscrito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Manuscript Title</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Nome do Grupo de Pesquisa (se houver)</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Research Group (if any)</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spacing w:before="200" w:after="60"/>
        <w:rPr>
          <w:rFonts w:ascii="Garamond" w:eastAsia="Garamond" w:hAnsi="Garamond" w:cs="Garamond"/>
        </w:rPr>
      </w:pPr>
      <w:r>
        <w:rPr>
          <w:rFonts w:ascii="Garamond" w:eastAsia="Garamond" w:hAnsi="Garamond" w:cs="Garamond"/>
          <w:b/>
          <w:bCs/>
          <w:color w:val="000000"/>
          <w:sz w:val="21"/>
          <w:szCs w:val="21"/>
        </w:rPr>
        <w:t xml:space="preserve">Eixo ao qual o artigo pertence (escolha um dos 4 itens)</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Thematic axis to which the article belongs (choose one of the 4 items)</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Eixo Temático 1 – Direito, Democracia e Justiça Social</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Thematic Axis 1 – Law, Democracy and Social Justice</w:t>
      </w:r>
    </w:p>
    <w:p>
      <w:pPr>
        <w:spacing w:after="0"/>
        <w:ind w:left="284"/>
        <w:jc w:val="both"/>
        <w:rPr>
          <w:rFonts w:ascii="Garamond" w:eastAsia="Garamond" w:hAnsi="Garamond" w:cs="Garamond"/>
        </w:rPr>
      </w:pPr>
      <w:r>
        <w:rPr>
          <w:rFonts w:ascii="Garamond" w:eastAsia="Garamond" w:hAnsi="Garamond" w:cs="Garamond"/>
          <w:sz w:val="21"/>
          <w:szCs w:val="21"/>
        </w:rPr>
        <w:t xml:space="preserve">Artigos que abordam justiça social, vulnerabilidades, desigualdade de gênero, encarceramento e saúde pública sob a ótica dos direitos fundamentais e da ética do cuidado. A seleção favorece uma abordagem crítica e humanizadora da atuação do Estado e da sociedade.</w:t>
      </w:r>
    </w:p>
    <w:p>
      <w:pPr>
        <w:spacing w:after="120"/>
        <w:ind w:left="284"/>
        <w:jc w:val="both"/>
        <w:rPr>
          <w:rFonts w:ascii="Garamond" w:eastAsia="Garamond" w:hAnsi="Garamond" w:cs="Garamond"/>
        </w:rPr>
      </w:pPr>
      <w:r>
        <w:rPr>
          <w:rFonts w:ascii="Garamond" w:eastAsia="Garamond" w:hAnsi="Garamond" w:cs="Garamond"/>
          <w:i/>
          <w:iCs/>
          <w:color w:val="595959"/>
          <w:sz w:val="21"/>
          <w:szCs w:val="21"/>
        </w:rPr>
        <w:t xml:space="preserve">Articles addressing social justice, vulnerabilities, gender inequality, incarceration and public health from the perspective of fundamental rights and the ethics of care. Selection favours a critical and humanising approach to the action of the State and of society.</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Eixo Temático 2 – Constituição, Instituições e Democracia no Brasil</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Thematic Axis 2 – Constitution, Institutions and Democracy in Brazil</w:t>
      </w:r>
    </w:p>
    <w:p>
      <w:pPr>
        <w:spacing w:after="0"/>
        <w:ind w:left="284"/>
        <w:jc w:val="both"/>
        <w:rPr>
          <w:rFonts w:ascii="Garamond" w:eastAsia="Garamond" w:hAnsi="Garamond" w:cs="Garamond"/>
        </w:rPr>
      </w:pPr>
      <w:r>
        <w:rPr>
          <w:rFonts w:ascii="Garamond" w:eastAsia="Garamond" w:hAnsi="Garamond" w:cs="Garamond"/>
          <w:sz w:val="21"/>
          <w:szCs w:val="21"/>
        </w:rPr>
        <w:t xml:space="preserve">Reúne artigos que tratam da atuação das instituições democráticas, do poder Judiciário, da legislação infraconstitucional e constitucional e dos marcos normativos nacionais e internacionais voltados à cidadania, cultura democrática e direitos.</w:t>
      </w:r>
    </w:p>
    <w:p>
      <w:pPr>
        <w:spacing w:after="120"/>
        <w:ind w:left="284"/>
        <w:jc w:val="both"/>
        <w:rPr>
          <w:rFonts w:ascii="Garamond" w:eastAsia="Garamond" w:hAnsi="Garamond" w:cs="Garamond"/>
        </w:rPr>
      </w:pPr>
      <w:r>
        <w:rPr>
          <w:rFonts w:ascii="Garamond" w:eastAsia="Garamond" w:hAnsi="Garamond" w:cs="Garamond"/>
          <w:i/>
          <w:iCs/>
          <w:color w:val="595959"/>
          <w:sz w:val="21"/>
          <w:szCs w:val="21"/>
        </w:rPr>
        <w:t xml:space="preserve">Brings together articles on the action of democratic institutions, the Judiciary, constitutional and ordinary legislation, and the national and international normative frameworks concerning citizenship, democratic culture and rights.</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Eixo Temático 3 – Direito, Tecnologia e Sociedade em Transformação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Thematic Axis 3 – Law, Technology and a Society in Transformation</w:t>
      </w:r>
    </w:p>
    <w:p>
      <w:pPr>
        <w:spacing w:after="0"/>
        <w:ind w:left="284"/>
        <w:jc w:val="both"/>
        <w:rPr>
          <w:rFonts w:ascii="Garamond" w:eastAsia="Garamond" w:hAnsi="Garamond" w:cs="Garamond"/>
        </w:rPr>
      </w:pPr>
      <w:r>
        <w:rPr>
          <w:rFonts w:ascii="Garamond" w:eastAsia="Garamond" w:hAnsi="Garamond" w:cs="Garamond"/>
          <w:sz w:val="21"/>
          <w:szCs w:val="21"/>
        </w:rPr>
        <w:t xml:space="preserve">Esta seção reúne artigos que analisam criticamente as interseções entre Direito, tecnologia e transformações sociais contemporâneas. São abordados temas como proteção de dados pessoais, inteligência artificial, racismo algorítmico, publicidade abusiva dirigida a crianças, e os desafios da tutela da personalidade no ciberespaço. A seleção prioriza contribuições que dialogam com os direitos fundamentais e promovem uma reflexão crítica sobre os impactos das tecnologias emergentes nas dinâmicas sociais, jurídicas e institucionais. Valorizam-se abordagens interdisciplinares, críticas e comprometidas com a justiça social e a ética digital.</w:t>
      </w:r>
    </w:p>
    <w:p>
      <w:pPr>
        <w:spacing w:after="120"/>
        <w:ind w:left="284"/>
        <w:jc w:val="both"/>
        <w:rPr>
          <w:rFonts w:ascii="Garamond" w:eastAsia="Garamond" w:hAnsi="Garamond" w:cs="Garamond"/>
        </w:rPr>
      </w:pPr>
      <w:r>
        <w:rPr>
          <w:rFonts w:ascii="Garamond" w:eastAsia="Garamond" w:hAnsi="Garamond" w:cs="Garamond"/>
          <w:i/>
          <w:iCs/>
          <w:color w:val="595959"/>
          <w:sz w:val="21"/>
          <w:szCs w:val="21"/>
        </w:rPr>
        <w:t xml:space="preserve">This section brings together articles that critically analyse the intersections between law, technology and contemporary social transformations. Topics include personal data protection, artificial intelligence, algorithmic racism, abusive advertising directed at children, and the challenges of protecting personality rights in cyberspace. Selection prioritises contributions engaging with fundamental rights and promoting critical reflection on the impacts of emerging technologies on social, legal and institutional dynamics. Interdisciplinary and critical approaches committed to social justice and digital ethics are valued.</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Artigo Internacional</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International Article</w:t>
      </w:r>
    </w:p>
    <w:p>
      <w:pPr>
        <w:spacing w:after="0"/>
        <w:ind w:left="284"/>
        <w:jc w:val="both"/>
        <w:rPr>
          <w:rFonts w:ascii="Garamond" w:eastAsia="Garamond" w:hAnsi="Garamond" w:cs="Garamond"/>
        </w:rPr>
      </w:pPr>
      <w:r>
        <w:rPr>
          <w:rFonts w:ascii="Garamond" w:eastAsia="Garamond" w:hAnsi="Garamond" w:cs="Garamond"/>
          <w:sz w:val="21"/>
          <w:szCs w:val="21"/>
        </w:rPr>
        <w:t xml:space="preserve">São textos de autoria de pesquisadoras(es) com vínculo institucional no exterior (afiliadas(os) a instituições estrangeiras) ou com tema, abordagem e diálogo acadêmico predominantemente internacional, contribuindo diretamente para a internacionalização da Revista Pensar. A revista publica em português, inglês, espanhol, italiano e francês, o que viabiliza essa seção em diferentes idiomas.</w:t>
      </w:r>
    </w:p>
    <w:p>
      <w:pPr>
        <w:spacing w:after="120"/>
        <w:ind w:left="284"/>
        <w:jc w:val="both"/>
        <w:rPr>
          <w:rFonts w:ascii="Garamond" w:eastAsia="Garamond" w:hAnsi="Garamond" w:cs="Garamond"/>
        </w:rPr>
      </w:pPr>
      <w:r>
        <w:rPr>
          <w:rFonts w:ascii="Garamond" w:eastAsia="Garamond" w:hAnsi="Garamond" w:cs="Garamond"/>
          <w:i/>
          <w:iCs/>
          <w:color w:val="595959"/>
          <w:sz w:val="21"/>
          <w:szCs w:val="21"/>
        </w:rPr>
        <w:t xml:space="preserve">Texts authored by researchers institutionally affiliated abroad (with foreign institutions) or whose subject, approach and academic dialogue are predominantly international, contributing directly to the internationalisation of Revista Pensar. The journal publishes in Portuguese, English, Spanish, Italian and French, which makes this section viable in different languages.</w:t>
      </w:r>
    </w:p>
    <w:p>
      <w:pPr>
        <w:spacing w:before="200" w:after="60"/>
        <w:rPr>
          <w:rFonts w:ascii="Garamond" w:eastAsia="Garamond" w:hAnsi="Garamond" w:cs="Garamond"/>
        </w:rPr>
      </w:pPr>
      <w:r>
        <w:rPr>
          <w:rFonts w:ascii="Garamond" w:eastAsia="Garamond" w:hAnsi="Garamond" w:cs="Garamond"/>
          <w:b/>
          <w:bCs/>
          <w:color w:val="000000"/>
          <w:sz w:val="21"/>
          <w:szCs w:val="21"/>
        </w:rPr>
        <w:t xml:space="preserve">Observações</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Notes</w:t>
      </w:r>
    </w:p>
    <w:p>
      <w:pPr>
        <w:spacing w:after="0"/>
        <w:ind w:left="284"/>
        <w:jc w:val="both"/>
        <w:rPr>
          <w:rFonts w:ascii="Garamond" w:eastAsia="Garamond" w:hAnsi="Garamond" w:cs="Garamond"/>
        </w:rPr>
      </w:pPr>
      <w:r>
        <w:rPr>
          <w:rFonts w:ascii="Garamond" w:eastAsia="Garamond" w:hAnsi="Garamond" w:cs="Garamond"/>
          <w:sz w:val="21"/>
          <w:szCs w:val="21"/>
        </w:rPr>
        <w:t xml:space="preserve">Caso aprovado, os Editores-Chefes poderão, a critério editorial, realocar o manuscrito para outro Eixo Temático, quando isso contribuir para melhor aderência ao escopo e à organização editorial da revista.</w:t>
      </w:r>
    </w:p>
    <w:p>
      <w:pPr>
        <w:spacing w:after="120"/>
        <w:ind w:left="284"/>
        <w:jc w:val="both"/>
        <w:rPr>
          <w:rFonts w:ascii="Garamond" w:eastAsia="Garamond" w:hAnsi="Garamond" w:cs="Garamond"/>
        </w:rPr>
      </w:pPr>
      <w:r>
        <w:rPr>
          <w:rFonts w:ascii="Garamond" w:eastAsia="Garamond" w:hAnsi="Garamond" w:cs="Garamond"/>
          <w:i/>
          <w:iCs/>
          <w:color w:val="595959"/>
          <w:sz w:val="21"/>
          <w:szCs w:val="21"/>
        </w:rPr>
        <w:t xml:space="preserve">If approved, the Editors-in-Chief may, at their editorial discretion, reallocate the manuscript to another Thematic Axis where this contributes to better alignment with the journal's scope and editorial organisation.</w:t>
      </w:r>
    </w:p>
    <w:p>
      <w:pPr>
        <w:spacing w:after="0"/>
        <w:ind w:left="284"/>
        <w:rPr>
          <w:rFonts w:ascii="Garamond" w:eastAsia="Garamond" w:hAnsi="Garamond" w:cs="Garamond"/>
        </w:rPr>
      </w:pPr>
      <w:r>
        <w:rPr>
          <w:rFonts w:ascii="Garamond" w:eastAsia="Garamond" w:hAnsi="Garamond" w:cs="Garamond"/>
          <w:sz w:val="21"/>
          <w:szCs w:val="21"/>
        </w:rPr>
        <w:t xml:space="preserve">Para mais informações, consulte as Diretrizes de Submissão: </w:t>
      </w:r>
      <w:hyperlink r:id="rId100">
        <w:r>
          <w:rPr>
            <w:rFonts w:ascii="Garamond" w:eastAsia="Garamond" w:hAnsi="Garamond" w:cs="Garamond"/>
            <w:color w:val="0563C1"/>
            <w:u w:val="single"/>
            <w:sz w:val="21"/>
            <w:szCs w:val="21"/>
          </w:rPr>
          <w:t xml:space="preserve">https://ojs.unifor.br/rpen/about/submissions</w:t>
        </w:r>
      </w:hyperlink>
    </w:p>
    <w:p>
      <w:pPr>
        <w:spacing w:after="160"/>
        <w:ind w:left="284"/>
        <w:rPr>
          <w:rFonts w:ascii="Garamond" w:eastAsia="Garamond" w:hAnsi="Garamond" w:cs="Garamond"/>
        </w:rPr>
      </w:pPr>
      <w:r>
        <w:rPr>
          <w:rFonts w:ascii="Garamond" w:eastAsia="Garamond" w:hAnsi="Garamond" w:cs="Garamond"/>
          <w:i/>
          <w:iCs/>
          <w:color w:val="595959"/>
          <w:sz w:val="21"/>
          <w:szCs w:val="21"/>
        </w:rPr>
        <w:t xml:space="preserve">For further information, see the Submission Guidelines.</w:t>
      </w: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1 – INFORMAÇÃO DOS AUTORES</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1 – AUTHOR INFORMATION</w:t>
      </w:r>
    </w:p>
    <w:p>
      <w:pPr>
        <w:spacing w:after="0"/>
        <w:rPr>
          <w:rFonts w:ascii="Garamond" w:eastAsia="Garamond" w:hAnsi="Garamond" w:cs="Garamond"/>
        </w:rPr>
      </w:pPr>
      <w:r>
        <w:rPr>
          <w:rFonts w:ascii="Garamond" w:eastAsia="Garamond" w:hAnsi="Garamond" w:cs="Garamond"/>
          <w:sz w:val="21"/>
          <w:szCs w:val="21"/>
        </w:rPr>
        <w:t xml:space="preserve">São admitidos até 3 autores por trabalho. Número superior exige justificativa apresentada no ato da submissão, demonstrando a contribuição substantiva de cada autor segundo os critérios do </w:t>
      </w:r>
      <w:hyperlink r:id="rId104">
        <w:r>
          <w:rPr>
            <w:rFonts w:ascii="Garamond" w:eastAsia="Garamond" w:hAnsi="Garamond" w:cs="Garamond"/>
            <w:color w:val="0563C1"/>
            <w:u w:val="single"/>
            <w:sz w:val="21"/>
            <w:szCs w:val="21"/>
          </w:rPr>
          <w:t xml:space="preserve">ICMJE</w:t>
        </w:r>
      </w:hyperlink>
      <w:r>
        <w:rPr>
          <w:rFonts w:ascii="Garamond" w:eastAsia="Garamond" w:hAnsi="Garamond" w:cs="Garamond"/>
          <w:sz w:val="21"/>
          <w:szCs w:val="21"/>
        </w:rPr>
        <w:t xml:space="preserve"> e a taxonomia </w:t>
      </w:r>
      <w:hyperlink r:id="rId101">
        <w:r>
          <w:rPr>
            <w:rFonts w:ascii="Garamond" w:eastAsia="Garamond" w:hAnsi="Garamond" w:cs="Garamond"/>
            <w:color w:val="0563C1"/>
            <w:u w:val="single"/>
            <w:sz w:val="21"/>
            <w:szCs w:val="21"/>
          </w:rPr>
          <w:t xml:space="preserve">CRediT</w:t>
        </w:r>
      </w:hyperlink>
      <w:r>
        <w:rPr>
          <w:rFonts w:ascii="Garamond" w:eastAsia="Garamond" w:hAnsi="Garamond" w:cs="Garamond"/>
          <w:sz w:val="21"/>
          <w:szCs w:val="21"/>
        </w:rPr>
        <w:t xml:space="preserve">, sujeita à apreciação da editoria na triagem.</w:t>
      </w:r>
    </w:p>
    <w:p>
      <w:pPr>
        <w:spacing w:after="180"/>
        <w:rPr>
          <w:rFonts w:ascii="Garamond" w:eastAsia="Garamond" w:hAnsi="Garamond" w:cs="Garamond"/>
        </w:rPr>
      </w:pPr>
      <w:r>
        <w:rPr>
          <w:rFonts w:ascii="Garamond" w:eastAsia="Garamond" w:hAnsi="Garamond" w:cs="Garamond"/>
          <w:i/>
          <w:iCs/>
          <w:color w:val="595959"/>
          <w:sz w:val="21"/>
          <w:szCs w:val="21"/>
        </w:rPr>
        <w:t xml:space="preserve">Up to 3 authors are accepted per work. A greater number requires a justification presented at the time of submission, demonstrating the substantive contribution of each author according to the ICMJE criteria and the CRediT taxonomy, subject to editorial assessment at the screening stage.</w:t>
      </w:r>
    </w:p>
    <w:p>
      <w:pPr>
        <w:spacing w:before="200" w:after="60"/>
        <w:rPr>
          <w:rFonts w:ascii="Garamond" w:eastAsia="Garamond" w:hAnsi="Garamond" w:cs="Garamond"/>
        </w:rPr>
      </w:pPr>
      <w:r>
        <w:rPr>
          <w:rFonts w:ascii="Garamond" w:eastAsia="Garamond" w:hAnsi="Garamond" w:cs="Garamond"/>
          <w:b/>
          <w:bCs/>
          <w:color w:val="000000"/>
          <w:sz w:val="21"/>
          <w:szCs w:val="21"/>
        </w:rPr>
        <w:t xml:space="preserve">SOBRE O AUTOR 1</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ABOUT AUTHOR 1</w:t>
      </w:r>
    </w:p>
    <w:p>
      <w:pPr>
        <w:spacing w:after="0"/>
        <w:jc w:val="both"/>
        <w:rPr>
          <w:rFonts w:ascii="Garamond" w:eastAsia="Garamond" w:hAnsi="Garamond" w:cs="Garamond"/>
        </w:rPr>
      </w:pPr>
      <w:r>
        <w:rPr>
          <w:rFonts w:ascii="Garamond" w:eastAsia="Garamond" w:hAnsi="Garamond" w:cs="Garamond"/>
          <w:sz w:val="21"/>
          <w:szCs w:val="21"/>
        </w:rPr>
        <w:t xml:space="preserve">Para cada autor(a) ou coautor(a), devem ser fornecidas as seguintes informações, que serão utilizadas na publicação e no cadastro do sistema:</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For each author or co-author, the following information must be provided, to be used in the publication and in the system registration:</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Nome completo: com apenas as iniciais de cada nome em maiúscula.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Full name: with only the initial of each name capitalised.</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Telefone com WhatsApp.</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Phone number with WhatsApp.</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E-mail institucional ou pessoal de contato.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Institutional or personal contact e-mail.</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Identificador ORCID: no formato de URL completa (ex.: </w:t>
      </w:r>
      <w:hyperlink r:id="rId106">
        <w:r>
          <w:rPr>
            <w:rFonts w:ascii="Garamond" w:eastAsia="Garamond" w:hAnsi="Garamond" w:cs="Garamond"/>
            <w:color w:val="0563C1"/>
            <w:u w:val="single"/>
            <w:sz w:val="21"/>
            <w:szCs w:val="21"/>
          </w:rPr>
          <w:t xml:space="preserve">https://orcid.org/0000-0000-0000-0000</w:t>
        </w:r>
      </w:hyperlink>
      <w:r>
        <w:rPr>
          <w:rFonts w:ascii="Garamond" w:eastAsia="Garamond" w:hAnsi="Garamond" w:cs="Garamond"/>
          <w:sz w:val="21"/>
          <w:szCs w:val="21"/>
        </w:rPr>
        <w:t xml:space="preserve">).</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ORCID iD: as a full URL.</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Link para o </w:t>
      </w:r>
      <w:hyperlink r:id="rId107">
        <w:r>
          <w:rPr>
            <w:rFonts w:ascii="Garamond" w:eastAsia="Garamond" w:hAnsi="Garamond" w:cs="Garamond"/>
            <w:color w:val="0563C1"/>
            <w:u w:val="single"/>
            <w:sz w:val="21"/>
            <w:szCs w:val="21"/>
          </w:rPr>
          <w:t xml:space="preserve">Currículo Lattes</w:t>
        </w:r>
      </w:hyperlink>
      <w:r>
        <w:rPr>
          <w:rFonts w:ascii="Garamond" w:eastAsia="Garamond" w:hAnsi="Garamond" w:cs="Garamond"/>
          <w:sz w:val="21"/>
          <w:szCs w:val="21"/>
        </w:rPr>
        <w:t xml:space="preserve">: obrigatório para autores vinculados a instituições brasileiras.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Lattes CV link: mandatory for authors affiliated with Brazilian institutions.</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Afiliação institucional: nome por extenso, sem abreviações, seguido da cidade, sigla da unidade federativa (ou província, no caso de Estados federais) em maiúsculas e país entre parênteses.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Institutional affiliation: full name, unabbreviated, followed by city, state/province abbreviation in capitals and country in brackets.</w:t>
      </w:r>
    </w:p>
    <w:p>
      <w:pPr>
        <w:spacing w:after="60"/>
        <w:ind w:left="568"/>
        <w:rPr>
          <w:rFonts w:ascii="Garamond" w:eastAsia="Garamond" w:hAnsi="Garamond" w:cs="Garamond"/>
        </w:rPr>
      </w:pPr>
      <w:r>
        <w:rPr>
          <w:rFonts w:ascii="Garamond" w:eastAsia="Garamond" w:hAnsi="Garamond" w:cs="Garamond"/>
          <w:i/>
          <w:iCs/>
          <w:sz w:val="21"/>
          <w:szCs w:val="21"/>
        </w:rPr>
        <w:t xml:space="preserve">Exemplo / Example: </w:t>
      </w:r>
      <w:r>
        <w:rPr>
          <w:rFonts w:ascii="Garamond" w:eastAsia="Garamond" w:hAnsi="Garamond" w:cs="Garamond"/>
          <w:i/>
          <w:iCs/>
          <w:sz w:val="21"/>
          <w:szCs w:val="21"/>
        </w:rPr>
        <w:t xml:space="preserve">Universidade Federal do Paraná (Curitiba, PR, Brasil).</w:t>
      </w:r>
    </w:p>
    <w:p>
      <w:pPr>
        <w:spacing w:after="4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sz w:val="21"/>
          <w:szCs w:val="21"/>
        </w:rPr>
        <w:t xml:space="preserve">Mini-biografia: breve apresentação que deve iniciar com o cargo ocupado e a instituição de vínculo, seguida de cidade, estado e país. Em seguida, devem constar as principais titulações acadêmicas (da mais alta para a mais baixa), bem como eventuais participações em associações científicas, áreas de atuação profissional ou outras informações relevantes.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Short bio: a brief presentation beginning with the position held and the institution of affiliation, followed by city, state and country. Then the main academic degrees (highest to lowest), as well as any memberships in scientific associations, areas of professional practice or other relevant information.</w:t>
      </w:r>
    </w:p>
    <w:p>
      <w:pPr>
        <w:spacing w:after="160"/>
        <w:ind w:left="568"/>
        <w:rPr>
          <w:rFonts w:ascii="Garamond" w:eastAsia="Garamond" w:hAnsi="Garamond" w:cs="Garamond"/>
        </w:rPr>
      </w:pPr>
      <w:r>
        <w:rPr>
          <w:rFonts w:ascii="Garamond" w:eastAsia="Garamond" w:hAnsi="Garamond" w:cs="Garamond"/>
          <w:i/>
          <w:iCs/>
          <w:sz w:val="21"/>
          <w:szCs w:val="21"/>
        </w:rPr>
        <w:t xml:space="preserve">Exemplo / Example: </w:t>
      </w:r>
      <w:r>
        <w:rPr>
          <w:rFonts w:ascii="Garamond" w:eastAsia="Garamond" w:hAnsi="Garamond" w:cs="Garamond"/>
          <w:i/>
          <w:iCs/>
          <w:sz w:val="21"/>
          <w:szCs w:val="21"/>
        </w:rPr>
        <w:t xml:space="preserve">Professor de Direito Constitucional da Universidade Federal do Paraná (Curitiba, PR, Brasil). Doutor e Mestre em Direito pela Universidade Federal do Paraná. Membro do Foro Iberoamericano de Derecho Administrativo. Advogado.</w:t>
      </w:r>
    </w:p>
    <w:p>
      <w:pPr>
        <w:spacing w:before="200" w:after="60"/>
        <w:rPr>
          <w:rFonts w:ascii="Garamond" w:eastAsia="Garamond" w:hAnsi="Garamond" w:cs="Garamond"/>
        </w:rPr>
      </w:pPr>
      <w:r>
        <w:rPr>
          <w:rFonts w:ascii="Garamond" w:eastAsia="Garamond" w:hAnsi="Garamond" w:cs="Garamond"/>
          <w:b/>
          <w:bCs/>
          <w:color w:val="000000"/>
          <w:sz w:val="21"/>
          <w:szCs w:val="21"/>
        </w:rPr>
        <w:t xml:space="preserve">Autodeclaração de Gênero</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Self-declared Gender</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Feminino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Female</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Masculino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Male</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Não binário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Non-binary</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Prefiro não responder</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Prefer not to answer</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Outro / Other:</w:t>
      </w:r>
    </w:p>
    <w:p>
      <w:pPr>
        <w:spacing w:before="200" w:after="60"/>
        <w:rPr>
          <w:rFonts w:ascii="Garamond" w:eastAsia="Garamond" w:hAnsi="Garamond" w:cs="Garamond"/>
        </w:rPr>
      </w:pPr>
      <w:r>
        <w:rPr>
          <w:rFonts w:ascii="Garamond" w:eastAsia="Garamond" w:hAnsi="Garamond" w:cs="Garamond"/>
          <w:b/>
          <w:bCs/>
          <w:color w:val="000000"/>
          <w:sz w:val="21"/>
          <w:szCs w:val="21"/>
        </w:rPr>
        <w:t xml:space="preserve">Autodeclaração de Raça/Cor (IBGE)</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Self-declared Race/Colour (IBGE)</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Branca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White</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Preta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Black</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Parda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Brown / Mixed</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Amarela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Yellow / East Asian</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Indígena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Indigenous</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Prefiro não responder</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Prefer not to answer</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Outro / Other:</w:t>
      </w:r>
    </w:p>
    <w:p>
      <w:pPr>
        <w:spacing w:after="0"/>
        <w:jc w:val="both"/>
        <w:rPr>
          <w:rFonts w:ascii="Garamond" w:eastAsia="Garamond" w:hAnsi="Garamond" w:cs="Garamond"/>
        </w:rPr>
      </w:pPr>
      <w:r>
        <w:rPr>
          <w:rFonts w:ascii="Garamond" w:eastAsia="Garamond" w:hAnsi="Garamond" w:cs="Garamond"/>
          <w:sz w:val="21"/>
          <w:szCs w:val="21"/>
        </w:rPr>
        <w:t xml:space="preserve">Obs.: Essas informações são coletadas exclusivamente para fins de monitoramento e aprimoramento das políticas de diversidade, equidade, inclusão e acessibilidade da Revista Pensar, sendo utilizadas de forma agregada e anônima.</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Note: This information is collected exclusively for monitoring and improving Revista Pensar's diversity, equity, inclusion and accessibility policies, and is used in aggregated and anonymous form.</w:t>
      </w:r>
    </w:p>
    <w:p>
      <w:pPr>
        <w:spacing w:before="200" w:after="60"/>
        <w:rPr>
          <w:rFonts w:ascii="Garamond" w:eastAsia="Garamond" w:hAnsi="Garamond" w:cs="Garamond"/>
        </w:rPr>
      </w:pPr>
      <w:r>
        <w:rPr>
          <w:rFonts w:ascii="Garamond" w:eastAsia="Garamond" w:hAnsi="Garamond" w:cs="Garamond"/>
          <w:b/>
          <w:bCs/>
          <w:color w:val="000000"/>
          <w:sz w:val="21"/>
          <w:szCs w:val="21"/>
        </w:rPr>
        <w:t xml:space="preserve">SOBRE O AUTOR 2 (se houver)</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ABOUT AUTHOR 2 (if any)</w:t>
      </w:r>
    </w:p>
    <w:p>
      <w:pPr>
        <w:spacing w:after="0"/>
        <w:jc w:val="both"/>
        <w:rPr>
          <w:rFonts w:ascii="Garamond" w:eastAsia="Garamond" w:hAnsi="Garamond" w:cs="Garamond"/>
        </w:rPr>
      </w:pPr>
      <w:r>
        <w:rPr>
          <w:rFonts w:ascii="Garamond" w:eastAsia="Garamond" w:hAnsi="Garamond" w:cs="Garamond"/>
          <w:sz w:val="21"/>
          <w:szCs w:val="21"/>
        </w:rPr>
        <w:t xml:space="preserve">Repetir as mesmas informações acima para cada coautor(a), incluindo as autodeclarações de gênero e raça/cor, observando a ordem de autoria desejada para a publicação.</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Repeat the same information above for each co-author, including the self-declarations of gender and race/colour, observing the order of authorship desired for publication.</w:t>
      </w:r>
    </w:p>
    <w:p>
      <w:pPr>
        <w:spacing w:before="200" w:after="60"/>
        <w:rPr>
          <w:rFonts w:ascii="Garamond" w:eastAsia="Garamond" w:hAnsi="Garamond" w:cs="Garamond"/>
        </w:rPr>
      </w:pPr>
      <w:r>
        <w:rPr>
          <w:rFonts w:ascii="Garamond" w:eastAsia="Garamond" w:hAnsi="Garamond" w:cs="Garamond"/>
          <w:b/>
          <w:bCs/>
          <w:color w:val="000000"/>
          <w:sz w:val="21"/>
          <w:szCs w:val="21"/>
        </w:rPr>
        <w:t xml:space="preserve">SOBRE O AUTOR 3 (se houver)</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ABOUT AUTHOR 3 (if any)</w:t>
      </w:r>
    </w:p>
    <w:p>
      <w:pPr>
        <w:spacing w:after="0"/>
        <w:jc w:val="both"/>
        <w:rPr>
          <w:rFonts w:ascii="Garamond" w:eastAsia="Garamond" w:hAnsi="Garamond" w:cs="Garamond"/>
        </w:rPr>
      </w:pPr>
      <w:r>
        <w:rPr>
          <w:rFonts w:ascii="Garamond" w:eastAsia="Garamond" w:hAnsi="Garamond" w:cs="Garamond"/>
          <w:sz w:val="21"/>
          <w:szCs w:val="21"/>
        </w:rPr>
        <w:t xml:space="preserve">Caso haja mais de dois autores, incluir também os dados conforme o mesmo padrão indicado.</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If there are more than two authors, also include the data following the same pattern.</w:t>
      </w:r>
    </w:p>
    <w:p>
      <w:pPr>
        <w:spacing w:before="200" w:after="60"/>
        <w:rPr>
          <w:rFonts w:ascii="Garamond" w:eastAsia="Garamond" w:hAnsi="Garamond" w:cs="Garamond"/>
        </w:rPr>
      </w:pPr>
      <w:r>
        <w:rPr>
          <w:rFonts w:ascii="Garamond" w:eastAsia="Garamond" w:hAnsi="Garamond" w:cs="Garamond"/>
          <w:b/>
          <w:bCs/>
          <w:color w:val="000000"/>
          <w:sz w:val="21"/>
          <w:szCs w:val="21"/>
        </w:rPr>
        <w:t xml:space="preserve">JUSTIFICATIVA PARA MAIS DE 3 AUTORES (se aplicável)</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JUSTIFICATION FOR MORE THAN 3 AUTHORS (if applicable)</w:t>
      </w:r>
    </w:p>
    <w:p>
      <w:pPr>
        <w:spacing w:after="0"/>
        <w:jc w:val="both"/>
        <w:rPr>
          <w:rFonts w:ascii="Garamond" w:eastAsia="Garamond" w:hAnsi="Garamond" w:cs="Garamond"/>
        </w:rPr>
      </w:pPr>
      <w:r>
        <w:rPr>
          <w:rFonts w:ascii="Garamond" w:eastAsia="Garamond" w:hAnsi="Garamond" w:cs="Garamond"/>
          <w:sz w:val="21"/>
          <w:szCs w:val="21"/>
        </w:rPr>
        <w:t xml:space="preserve">Descreva a contribuição substantiva de cada autor, nos termos do ICMJE e da taxonomia CRediT, que justifique a autoria acima do limite de 3.</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Describe the substantive contribution of each author, under the ICMJE criteria and the CRediT taxonomy, justifying authorship beyond the limit of 3.</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p>
            <w:pPr>
              <w:spacing w:after="0"/>
              <w:rPr>
                <w:rFonts w:ascii="Garamond" w:eastAsia="Garamond" w:hAnsi="Garamond" w:cs="Garamond"/>
              </w:rPr>
            </w:pPr>
          </w:p>
          <w:p>
            <w:pPr>
              <w:spacing w:after="0"/>
              <w:rPr>
                <w:rFonts w:ascii="Garamond" w:eastAsia="Garamond" w:hAnsi="Garamond" w:cs="Garamond"/>
              </w:rPr>
            </w:pPr>
          </w:p>
        </w:tc>
      </w:tr>
    </w:tbl>
    <w:p>
      <w:pPr>
        <w:spacing w:after="160"/>
        <w:rPr>
          <w:rFonts w:ascii="Garamond" w:eastAsia="Garamond" w:hAnsi="Garamond" w:cs="Garamond"/>
        </w:rPr>
      </w:pP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2 – ESPECIFICAÇÃO DE CONTRIBUIÇÕES DE COAUTORIA (em caso de trabalho com mais de um autor)</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2 – SPECIFICATION OF CO-AUTHORSHIP CONTRIBUTIONS (for works with more than one author)</w:t>
      </w:r>
    </w:p>
    <w:p>
      <w:pPr>
        <w:spacing w:after="0"/>
        <w:rPr>
          <w:rFonts w:ascii="Garamond" w:eastAsia="Garamond" w:hAnsi="Garamond" w:cs="Garamond"/>
        </w:rPr>
      </w:pPr>
      <w:r>
        <w:rPr>
          <w:rFonts w:ascii="Garamond" w:eastAsia="Garamond" w:hAnsi="Garamond" w:cs="Garamond"/>
          <w:sz w:val="21"/>
          <w:szCs w:val="21"/>
        </w:rPr>
        <w:t xml:space="preserve">Estudos com autoria coletiva deverão discriminar o contributo de cada autor(a) seguindo a taxonomia CRediT (</w:t>
      </w:r>
      <w:hyperlink r:id="rId101">
        <w:r>
          <w:rPr>
            <w:rFonts w:ascii="Garamond" w:eastAsia="Garamond" w:hAnsi="Garamond" w:cs="Garamond"/>
            <w:color w:val="0563C1"/>
            <w:u w:val="single"/>
            <w:sz w:val="21"/>
            <w:szCs w:val="21"/>
          </w:rPr>
          <w:t xml:space="preserve">https://credit.niso.org/</w:t>
        </w:r>
      </w:hyperlink>
      <w:r>
        <w:rPr>
          <w:rFonts w:ascii="Garamond" w:eastAsia="Garamond" w:hAnsi="Garamond" w:cs="Garamond"/>
          <w:sz w:val="21"/>
          <w:szCs w:val="21"/>
        </w:rPr>
        <w:t xml:space="preserve">), escolhendo entre as seguintes funções (podendo selecionar mais de uma, se for o caso):</w:t>
      </w:r>
    </w:p>
    <w:p>
      <w:pPr>
        <w:spacing w:after="120"/>
        <w:rPr>
          <w:rFonts w:ascii="Garamond" w:eastAsia="Garamond" w:hAnsi="Garamond" w:cs="Garamond"/>
        </w:rPr>
      </w:pPr>
      <w:r>
        <w:rPr>
          <w:rFonts w:ascii="Garamond" w:eastAsia="Garamond" w:hAnsi="Garamond" w:cs="Garamond"/>
          <w:i/>
          <w:iCs/>
          <w:color w:val="595959"/>
          <w:sz w:val="21"/>
          <w:szCs w:val="21"/>
        </w:rPr>
        <w:t xml:space="preserve">Works with collective authorship must specify the contribution of each author following the CRediT taxonomy, choosing among the following roles (more than one may be selected):</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Conceptualization</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concepção da pesquisa / research conception</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Methodology</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metodologia / methodology</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Investigation</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levantamento de dados / data collection</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Writing – Original Draft</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redação inicial / original drafting</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Writing – Review &amp; Editing</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revisão do texto / text revision</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Supervision</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orientação/supervisão / supervision</w:t>
      </w:r>
      <w:r>
        <w:rPr>
          <w:rFonts w:ascii="Garamond" w:eastAsia="Garamond" w:hAnsi="Garamond" w:cs="Garamond"/>
          <w:sz w:val="21"/>
          <w:szCs w:val="21"/>
        </w:rPr>
        <w:t xml:space="preserve">)</w:t>
      </w:r>
    </w:p>
    <w:p>
      <w:pPr>
        <w:spacing w:after="30"/>
        <w:ind w:left="284"/>
        <w:rPr>
          <w:rFonts w:ascii="Garamond" w:eastAsia="Garamond" w:hAnsi="Garamond" w:cs="Garamond"/>
        </w:rPr>
      </w:pPr>
      <w:r>
        <w:rPr>
          <w:rFonts w:ascii="Garamond" w:eastAsia="Garamond" w:hAnsi="Garamond" w:cs="Garamond"/>
          <w:sz w:val="21"/>
          <w:szCs w:val="21"/>
        </w:rPr>
        <w:t xml:space="preserve">•  </w:t>
      </w:r>
      <w:r>
        <w:rPr>
          <w:rFonts w:ascii="Garamond" w:eastAsia="Garamond" w:hAnsi="Garamond" w:cs="Garamond"/>
          <w:b/>
          <w:bCs/>
          <w:sz w:val="21"/>
          <w:szCs w:val="21"/>
        </w:rPr>
        <w:t xml:space="preserve">Funding acquisition</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obtenção de financiamento / funding acquisition</w:t>
      </w:r>
      <w:r>
        <w:rPr>
          <w:rFonts w:ascii="Garamond" w:eastAsia="Garamond" w:hAnsi="Garamond" w:cs="Garamond"/>
          <w:sz w:val="21"/>
          <w:szCs w:val="21"/>
        </w:rPr>
        <w:t xml:space="preserve">)</w:t>
      </w:r>
    </w:p>
    <w:p>
      <w:pPr>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Contribuição(ões) do Autor 1</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Author 1's contribution(s)</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Contribuição(ões) do Autor 2</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Author 2's contribution(s)</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Contribuição(ões) do Autor 3 (se houver)</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Author 3's contribution(s) (if any)</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spacing w:before="200" w:after="60"/>
        <w:rPr>
          <w:rFonts w:ascii="Garamond" w:eastAsia="Garamond" w:hAnsi="Garamond" w:cs="Garamond"/>
        </w:rPr>
      </w:pPr>
      <w:r>
        <w:rPr>
          <w:rFonts w:ascii="Garamond" w:eastAsia="Garamond" w:hAnsi="Garamond" w:cs="Garamond"/>
          <w:b/>
          <w:bCs/>
          <w:color w:val="000000"/>
          <w:sz w:val="21"/>
          <w:szCs w:val="21"/>
        </w:rPr>
        <w:t xml:space="preserve">Ciência Aberta e Política de Depósito em Repositório</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Open Science and Repository Deposit Policy</w:t>
      </w:r>
    </w:p>
    <w:p>
      <w:pPr>
        <w:spacing w:after="0"/>
        <w:rPr>
          <w:rFonts w:ascii="Garamond" w:eastAsia="Garamond" w:hAnsi="Garamond" w:cs="Garamond"/>
        </w:rPr>
      </w:pPr>
      <w:r>
        <w:rPr>
          <w:rFonts w:ascii="Garamond" w:eastAsia="Garamond" w:hAnsi="Garamond" w:cs="Garamond"/>
          <w:sz w:val="21"/>
          <w:szCs w:val="21"/>
        </w:rPr>
        <w:t xml:space="preserve">Antes de seguir para as partes abaixo, recomendamos a leitura do texto constante no link </w:t>
      </w:r>
      <w:hyperlink r:id="rId102">
        <w:r>
          <w:rPr>
            <w:rFonts w:ascii="Garamond" w:eastAsia="Garamond" w:hAnsi="Garamond" w:cs="Garamond"/>
            <w:color w:val="0563C1"/>
            <w:u w:val="single"/>
            <w:sz w:val="21"/>
            <w:szCs w:val="21"/>
          </w:rPr>
          <w:t xml:space="preserve">https://ojs.unifor.br/rpen/politicaeditorialcienciaaberta</w:t>
        </w:r>
      </w:hyperlink>
    </w:p>
    <w:p>
      <w:pPr>
        <w:spacing w:after="160"/>
        <w:rPr>
          <w:rFonts w:ascii="Garamond" w:eastAsia="Garamond" w:hAnsi="Garamond" w:cs="Garamond"/>
        </w:rPr>
      </w:pPr>
      <w:r>
        <w:rPr>
          <w:rFonts w:ascii="Garamond" w:eastAsia="Garamond" w:hAnsi="Garamond" w:cs="Garamond"/>
          <w:i/>
          <w:iCs/>
          <w:color w:val="595959"/>
          <w:sz w:val="21"/>
          <w:szCs w:val="21"/>
        </w:rPr>
        <w:t xml:space="preserve">Before proceeding to the sections below, we recommend reading the text available at the link above.</w:t>
      </w: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3 – COMPARTILHAMENTO DE DADOS DE PESQUISA</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3 – RESEARCH DATA SHARING</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Trata-se de artigo exclusivamente doutrinário ou teórico, não gerador de dados complementares.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This is a purely doctrinal or theoretical article that does not generate supplementary data.</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Sim. Os dados e materiais que fundamentam este manuscrito serão disponibilizados em repositório público confiável (ex.: SciELO Data, Zenodo, OSF, Dataverse), com link informado no artigo.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Yes. The data and materials underlying this manuscript will be made available in a trusted public repository (e.g. SciELO Data, Zenodo, OSF, Dataverse), with the link stated in the article.</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Não. Por motivos éticos, legais ou técnicos, os dados não poderão ser compartilhados.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No. For ethical, legal or technical reasons, the data cannot be shared.</w:t>
      </w:r>
    </w:p>
    <w:p>
      <w:pPr>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Justificativa (caso aplicável)</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Justification (if applicable)</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tc>
      </w:tr>
    </w:tbl>
    <w:p>
      <w:pPr>
        <w:spacing w:after="140"/>
        <w:rPr>
          <w:rFonts w:ascii="Garamond" w:eastAsia="Garamond" w:hAnsi="Garamond" w:cs="Garamond"/>
        </w:rPr>
      </w:pP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4 – OPÇÃO DE AVALIAÇÃO POR PARES</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4 – PEER REVIEW OPTION</w:t>
      </w:r>
    </w:p>
    <w:p>
      <w:pPr>
        <w:spacing w:after="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b/>
          <w:bCs/>
          <w:sz w:val="21"/>
          <w:szCs w:val="21"/>
        </w:rPr>
        <w:t xml:space="preserve">Avaliação Aberta (Open Peer Review)</w:t>
      </w:r>
      <w:r>
        <w:rPr>
          <w:rFonts w:ascii="Garamond" w:eastAsia="Garamond" w:hAnsi="Garamond" w:cs="Garamond"/>
          <w:sz w:val="21"/>
          <w:szCs w:val="21"/>
        </w:rPr>
        <w:t xml:space="preserve">  </w:t>
      </w:r>
      <w:r>
        <w:rPr>
          <w:rFonts w:ascii="Garamond" w:eastAsia="Garamond" w:hAnsi="Garamond" w:cs="Garamond"/>
          <w:i/>
          <w:iCs/>
          <w:color w:val="595959"/>
          <w:sz w:val="21"/>
          <w:szCs w:val="21"/>
        </w:rPr>
        <w:t xml:space="preserve">recomendada / recommended</w:t>
      </w:r>
    </w:p>
    <w:p>
      <w:pPr>
        <w:spacing w:after="0"/>
        <w:ind w:left="568"/>
        <w:jc w:val="both"/>
        <w:rPr>
          <w:rFonts w:ascii="Garamond" w:eastAsia="Garamond" w:hAnsi="Garamond" w:cs="Garamond"/>
        </w:rPr>
      </w:pPr>
      <w:r>
        <w:rPr>
          <w:rFonts w:ascii="Garamond" w:eastAsia="Garamond" w:hAnsi="Garamond" w:cs="Garamond"/>
          <w:sz w:val="21"/>
          <w:szCs w:val="21"/>
        </w:rPr>
        <w:t xml:space="preserve">Autorizo a interação direta com os(as) avaliadores(as) e a possibilidade de publicação dos pareceres juntamente com o artigo, caso aprovado.</w:t>
      </w:r>
    </w:p>
    <w:p>
      <w:pPr>
        <w:spacing w:after="120"/>
        <w:ind w:left="568"/>
        <w:jc w:val="both"/>
        <w:rPr>
          <w:rFonts w:ascii="Garamond" w:eastAsia="Garamond" w:hAnsi="Garamond" w:cs="Garamond"/>
        </w:rPr>
      </w:pPr>
      <w:r>
        <w:rPr>
          <w:rFonts w:ascii="Garamond" w:eastAsia="Garamond" w:hAnsi="Garamond" w:cs="Garamond"/>
          <w:i/>
          <w:iCs/>
          <w:color w:val="595959"/>
          <w:sz w:val="21"/>
          <w:szCs w:val="21"/>
        </w:rPr>
        <w:t xml:space="preserve">I authorise direct interaction with the reviewers and the possible publication of the reviews together with the article, if approved.</w:t>
      </w:r>
    </w:p>
    <w:p>
      <w:pPr>
        <w:spacing w:after="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b/>
          <w:bCs/>
          <w:sz w:val="21"/>
          <w:szCs w:val="21"/>
        </w:rPr>
        <w:t xml:space="preserve">Avaliação Cega Tradicional (Double Blind Peer Review)</w:t>
      </w:r>
    </w:p>
    <w:p>
      <w:pPr>
        <w:spacing w:after="0"/>
        <w:ind w:left="568"/>
        <w:jc w:val="both"/>
        <w:rPr>
          <w:rFonts w:ascii="Garamond" w:eastAsia="Garamond" w:hAnsi="Garamond" w:cs="Garamond"/>
        </w:rPr>
      </w:pPr>
      <w:r>
        <w:rPr>
          <w:rFonts w:ascii="Garamond" w:eastAsia="Garamond" w:hAnsi="Garamond" w:cs="Garamond"/>
          <w:sz w:val="21"/>
          <w:szCs w:val="21"/>
        </w:rPr>
        <w:t xml:space="preserve">Prefiro que o artigo seja avaliado no modelo de duplo anonimato, sem divulgação dos pareceres.</w:t>
      </w:r>
    </w:p>
    <w:p>
      <w:pPr>
        <w:spacing w:after="120"/>
        <w:ind w:left="568"/>
        <w:jc w:val="both"/>
        <w:rPr>
          <w:rFonts w:ascii="Garamond" w:eastAsia="Garamond" w:hAnsi="Garamond" w:cs="Garamond"/>
        </w:rPr>
      </w:pPr>
      <w:r>
        <w:rPr>
          <w:rFonts w:ascii="Garamond" w:eastAsia="Garamond" w:hAnsi="Garamond" w:cs="Garamond"/>
          <w:i/>
          <w:iCs/>
          <w:color w:val="595959"/>
          <w:sz w:val="21"/>
          <w:szCs w:val="21"/>
        </w:rPr>
        <w:t xml:space="preserve">I prefer the article to be assessed under the double-anonymised model, without disclosure of the reviews.</w:t>
      </w: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5 – PREPRINTS</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5 – PREPRINTS</w:t>
      </w:r>
    </w:p>
    <w:p>
      <w:pPr>
        <w:spacing w:after="120"/>
        <w:rPr>
          <w:rFonts w:ascii="Garamond" w:eastAsia="Garamond" w:hAnsi="Garamond" w:cs="Garamond"/>
        </w:rPr>
      </w:pPr>
      <w:hyperlink r:id="rId103">
        <w:r>
          <w:rPr>
            <w:rFonts w:ascii="Garamond" w:eastAsia="Garamond" w:hAnsi="Garamond" w:cs="Garamond"/>
            <w:color w:val="0563C1"/>
            <w:u w:val="single"/>
            <w:sz w:val="21"/>
            <w:szCs w:val="21"/>
          </w:rPr>
          <w:t xml:space="preserve">https://ojs.unifor.br/rpen/preprints</w:t>
        </w:r>
      </w:hyperlink>
    </w:p>
    <w:p>
      <w:pPr>
        <w:spacing w:after="0"/>
        <w:jc w:val="both"/>
        <w:rPr>
          <w:rFonts w:ascii="Garamond" w:eastAsia="Garamond" w:hAnsi="Garamond" w:cs="Garamond"/>
        </w:rPr>
      </w:pPr>
      <w:r>
        <w:rPr>
          <w:rFonts w:ascii="Garamond" w:eastAsia="Garamond" w:hAnsi="Garamond" w:cs="Garamond"/>
          <w:sz w:val="21"/>
          <w:szCs w:val="21"/>
        </w:rPr>
        <w:t xml:space="preserve">Preprints são versões de artigos científicos que ainda não passaram pela avaliação por pares no âmbito editorial de um periódico, ou que já foram avaliadas, mas ainda não tiveram sua publicação finalizada. Esses textos podem ser disponibilizados em repositórios reconhecidos sem que isso afete o caráter inédito da pesquisa.</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Preprints are versions of scientific articles that have not yet undergone peer review within a journal's editorial process, or that have been reviewed but not yet finally published. Such texts may be made available in recognised repositories without this affecting the unpublished character of the research.</w:t>
      </w:r>
    </w:p>
    <w:p>
      <w:pPr>
        <w:spacing w:after="0"/>
        <w:jc w:val="both"/>
        <w:rPr>
          <w:rFonts w:ascii="Garamond" w:eastAsia="Garamond" w:hAnsi="Garamond" w:cs="Garamond"/>
        </w:rPr>
      </w:pPr>
      <w:r>
        <w:rPr>
          <w:rFonts w:ascii="Garamond" w:eastAsia="Garamond" w:hAnsi="Garamond" w:cs="Garamond"/>
          <w:sz w:val="21"/>
          <w:szCs w:val="21"/>
        </w:rPr>
        <w:t xml:space="preserve">Os autores que já tenham disponibilizado seus manuscritos em repositórios de preprints (como SSRN, Zenodo, SciELO Preprints, entre outros) podem submetê-los à revista, desde que informem claramente, no ato da submissão, o link de acesso e a versão depositada.</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Authors who have already made their manuscripts available in preprint repositories (such as SSRN, Zenodo, SciELO Preprints, among others) may submit them to the journal, provided that they clearly state, at the time of submission, the access link and the deposited version.</w:t>
      </w:r>
    </w:p>
    <w:p>
      <w:pPr>
        <w:spacing w:after="0"/>
        <w:jc w:val="both"/>
        <w:rPr>
          <w:rFonts w:ascii="Garamond" w:eastAsia="Garamond" w:hAnsi="Garamond" w:cs="Garamond"/>
        </w:rPr>
      </w:pPr>
      <w:r>
        <w:rPr>
          <w:rFonts w:ascii="Garamond" w:eastAsia="Garamond" w:hAnsi="Garamond" w:cs="Garamond"/>
          <w:sz w:val="21"/>
          <w:szCs w:val="21"/>
        </w:rPr>
        <w:t xml:space="preserve">A decisão de realizar ou não o depósito em preprint é inteiramente dos(as) autores(as) e não interfere, de forma positiva ou negativa, no processo de avaliação conduzido pela Equipe Editorial.</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The decision whether or not to deposit a preprint rests entirely with the authors and does not affect, positively or negatively, the assessment process conducted by the Editorial Team.</w:t>
      </w:r>
    </w:p>
    <w:p>
      <w:pPr>
        <w:spacing w:before="200" w:after="60"/>
        <w:rPr>
          <w:rFonts w:ascii="Garamond" w:eastAsia="Garamond" w:hAnsi="Garamond" w:cs="Garamond"/>
        </w:rPr>
      </w:pPr>
      <w:r>
        <w:rPr>
          <w:rFonts w:ascii="Garamond" w:eastAsia="Garamond" w:hAnsi="Garamond" w:cs="Garamond"/>
          <w:b/>
          <w:bCs/>
          <w:color w:val="000000"/>
          <w:sz w:val="21"/>
          <w:szCs w:val="21"/>
        </w:rPr>
        <w:t xml:space="preserve">O artigo submetido é um preprint?</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Is the submitted article a preprint?</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Sim</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Yes</w:t>
      </w:r>
    </w:p>
    <w:p>
      <w:pPr>
        <w:spacing w:after="60"/>
        <w:ind w:left="568"/>
        <w:rPr>
          <w:rFonts w:ascii="Garamond" w:eastAsia="Garamond" w:hAnsi="Garamond" w:cs="Garamond"/>
        </w:rPr>
      </w:pPr>
      <w:r>
        <w:rPr>
          <w:rFonts w:ascii="Garamond" w:eastAsia="Garamond" w:hAnsi="Garamond" w:cs="Garamond"/>
          <w:b/>
          <w:bCs/>
          <w:sz w:val="21"/>
          <w:szCs w:val="21"/>
        </w:rPr>
        <w:t xml:space="preserve">Nome do servidor de Preprints  /  </w:t>
      </w:r>
      <w:r>
        <w:rPr>
          <w:rFonts w:ascii="Garamond" w:eastAsia="Garamond" w:hAnsi="Garamond" w:cs="Garamond"/>
          <w:i/>
          <w:iCs/>
          <w:color w:val="595959"/>
          <w:sz w:val="21"/>
          <w:szCs w:val="21"/>
        </w:rPr>
        <w:t xml:space="preserve">Preprint server name</w:t>
      </w:r>
      <w:r>
        <w:rPr>
          <w:rFonts w:ascii="Garamond" w:eastAsia="Garamond" w:hAnsi="Garamond" w:cs="Garamond"/>
          <w:sz w:val="21"/>
          <w:szCs w:val="21"/>
        </w:rPr>
        <w:t xml:space="preserve">:</w:t>
      </w:r>
    </w:p>
    <w:tbl>
      <w:tblPr>
        <w:tblW w:w="8072" w:type="dxa"/>
        <w:tblInd w:w="5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072"/>
      </w:tblGrid>
      <w:tr>
        <w:tc>
          <w:tcPr>
            <w:tcW w:w="8072" w:type="dxa"/>
          </w:tcPr>
          <w:p>
            <w:pPr>
              <w:spacing w:after="0"/>
              <w:rPr>
                <w:rFonts w:ascii="Garamond" w:eastAsia="Garamond" w:hAnsi="Garamond" w:cs="Garamond"/>
              </w:rPr>
            </w:pPr>
          </w:p>
        </w:tc>
      </w:tr>
    </w:tbl>
    <w:p>
      <w:pPr>
        <w:spacing w:after="100"/>
        <w:rPr>
          <w:rFonts w:ascii="Garamond" w:eastAsia="Garamond" w:hAnsi="Garamond" w:cs="Garamond"/>
        </w:rPr>
      </w:pPr>
    </w:p>
    <w:p>
      <w:pPr>
        <w:spacing w:after="60"/>
        <w:ind w:left="568"/>
        <w:rPr>
          <w:rFonts w:ascii="Garamond" w:eastAsia="Garamond" w:hAnsi="Garamond" w:cs="Garamond"/>
        </w:rPr>
      </w:pPr>
      <w:r>
        <w:rPr>
          <w:rFonts w:ascii="Garamond" w:eastAsia="Garamond" w:hAnsi="Garamond" w:cs="Garamond"/>
          <w:b/>
          <w:bCs/>
          <w:sz w:val="21"/>
          <w:szCs w:val="21"/>
        </w:rPr>
        <w:t xml:space="preserve">DOI do Preprint  /  </w:t>
      </w:r>
      <w:r>
        <w:rPr>
          <w:rFonts w:ascii="Garamond" w:eastAsia="Garamond" w:hAnsi="Garamond" w:cs="Garamond"/>
          <w:i/>
          <w:iCs/>
          <w:color w:val="595959"/>
          <w:sz w:val="21"/>
          <w:szCs w:val="21"/>
        </w:rPr>
        <w:t xml:space="preserve">Preprint DOI</w:t>
      </w:r>
      <w:r>
        <w:rPr>
          <w:rFonts w:ascii="Garamond" w:eastAsia="Garamond" w:hAnsi="Garamond" w:cs="Garamond"/>
          <w:sz w:val="21"/>
          <w:szCs w:val="21"/>
        </w:rPr>
        <w:t xml:space="preserve">:</w:t>
      </w:r>
    </w:p>
    <w:tbl>
      <w:tblPr>
        <w:tblW w:w="8072" w:type="dxa"/>
        <w:tblInd w:w="5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072"/>
      </w:tblGrid>
      <w:tr>
        <w:tc>
          <w:tcPr>
            <w:tcW w:w="8072" w:type="dxa"/>
          </w:tcPr>
          <w:p>
            <w:pPr>
              <w:spacing w:after="0"/>
              <w:rPr>
                <w:rFonts w:ascii="Garamond" w:eastAsia="Garamond" w:hAnsi="Garamond" w:cs="Garamond"/>
              </w:rPr>
            </w:pPr>
          </w:p>
        </w:tc>
      </w:tr>
    </w:tbl>
    <w:p>
      <w:pPr>
        <w:spacing w:after="100"/>
        <w:rPr>
          <w:rFonts w:ascii="Garamond" w:eastAsia="Garamond" w:hAnsi="Garamond" w:cs="Garamond"/>
        </w:rPr>
      </w:pP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Não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No</w:t>
      </w: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6 – CONFLITOS DE INTERESSE E FINANCIAMENTO</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6 – CONFLICTS OF INTEREST AND FUNDING</w:t>
      </w:r>
    </w:p>
    <w:p>
      <w:pPr>
        <w:spacing w:after="120"/>
        <w:rPr>
          <w:rFonts w:ascii="Garamond" w:eastAsia="Garamond" w:hAnsi="Garamond" w:cs="Garamond"/>
        </w:rPr>
      </w:pPr>
      <w:r>
        <w:rPr>
          <w:rFonts w:ascii="Garamond" w:eastAsia="Garamond" w:hAnsi="Garamond" w:cs="Garamond"/>
          <w:sz w:val="21"/>
          <w:szCs w:val="21"/>
        </w:rPr>
        <w:t xml:space="preserve">Política completa: </w:t>
      </w:r>
      <w:hyperlink r:id="rId105">
        <w:r>
          <w:rPr>
            <w:rFonts w:ascii="Garamond" w:eastAsia="Garamond" w:hAnsi="Garamond" w:cs="Garamond"/>
            <w:color w:val="0563C1"/>
            <w:u w:val="single"/>
            <w:sz w:val="21"/>
            <w:szCs w:val="21"/>
          </w:rPr>
          <w:t xml:space="preserve">https://ojs.unifor.br/rpen/conflitointeresse</w:t>
        </w:r>
      </w:hyperlink>
    </w:p>
    <w:p>
      <w:pPr>
        <w:spacing w:before="200" w:after="60"/>
        <w:rPr>
          <w:rFonts w:ascii="Garamond" w:eastAsia="Garamond" w:hAnsi="Garamond" w:cs="Garamond"/>
        </w:rPr>
      </w:pPr>
      <w:r>
        <w:rPr>
          <w:rFonts w:ascii="Garamond" w:eastAsia="Garamond" w:hAnsi="Garamond" w:cs="Garamond"/>
          <w:b/>
          <w:bCs/>
          <w:color w:val="000000"/>
          <w:sz w:val="21"/>
          <w:szCs w:val="21"/>
        </w:rPr>
        <w:t xml:space="preserve">Conflitos de interesse</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Conflicts of interest</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Declaro que não há conflitos de interesse (financeiros, profissionais ou pessoais) que possam influenciar a pesquisa, a análise ou a decisão de submissão/publicação deste manuscrito.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 declare that there are no conflicts of interest (financial, professional or personal) that could influence the research, the analysis or the decision to submit or publish this manuscript.</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Declaro que há conflito(s) de interesse, conforme descrito abaixo.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 declare that there is/are conflict(s) of interest, as described below.</w:t>
      </w:r>
    </w:p>
    <w:p>
      <w:pPr>
        <w:rPr>
          <w:rFonts w:ascii="Garamond" w:eastAsia="Garamond" w:hAnsi="Garamond" w:cs="Garamond"/>
        </w:rPr>
      </w:pPr>
    </w:p>
    <w:p>
      <w:pPr>
        <w:spacing w:after="0"/>
        <w:rPr>
          <w:rFonts w:ascii="Garamond" w:eastAsia="Garamond" w:hAnsi="Garamond" w:cs="Garamond"/>
        </w:rPr>
      </w:pPr>
      <w:r>
        <w:rPr>
          <w:rFonts w:ascii="Garamond" w:eastAsia="Garamond" w:hAnsi="Garamond" w:cs="Garamond"/>
          <w:b/>
          <w:bCs/>
          <w:sz w:val="21"/>
          <w:szCs w:val="21"/>
        </w:rPr>
        <w:t xml:space="preserve">Descrição do(s) conflito(s) </w:t>
      </w:r>
      <w:r>
        <w:rPr>
          <w:rFonts w:ascii="Garamond" w:eastAsia="Garamond" w:hAnsi="Garamond" w:cs="Garamond"/>
          <w:i/>
          <w:iCs/>
          <w:sz w:val="21"/>
          <w:szCs w:val="21"/>
        </w:rPr>
        <w:t xml:space="preserve">(obrigatória se marcada a opção anterior)</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Description of the conflict(s) (mandatory if the option above is ticked)</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p>
            <w:pPr>
              <w:spacing w:after="0"/>
              <w:rPr>
                <w:rFonts w:ascii="Garamond" w:eastAsia="Garamond" w:hAnsi="Garamond" w:cs="Garamond"/>
              </w:rPr>
            </w:pPr>
          </w:p>
          <w:p>
            <w:pPr>
              <w:spacing w:after="0"/>
              <w:rPr>
                <w:rFonts w:ascii="Garamond" w:eastAsia="Garamond" w:hAnsi="Garamond" w:cs="Garamond"/>
              </w:rPr>
            </w:pPr>
          </w:p>
        </w:tc>
      </w:tr>
    </w:tbl>
    <w:p>
      <w:pPr>
        <w:spacing w:after="160"/>
        <w:rPr>
          <w:rFonts w:ascii="Garamond" w:eastAsia="Garamond" w:hAnsi="Garamond" w:cs="Garamond"/>
        </w:rPr>
      </w:pPr>
    </w:p>
    <w:p>
      <w:pPr>
        <w:spacing w:before="200" w:after="60"/>
        <w:rPr>
          <w:rFonts w:ascii="Garamond" w:eastAsia="Garamond" w:hAnsi="Garamond" w:cs="Garamond"/>
        </w:rPr>
      </w:pPr>
      <w:r>
        <w:rPr>
          <w:rFonts w:ascii="Garamond" w:eastAsia="Garamond" w:hAnsi="Garamond" w:cs="Garamond"/>
          <w:b/>
          <w:bCs/>
          <w:color w:val="000000"/>
          <w:sz w:val="21"/>
          <w:szCs w:val="21"/>
        </w:rPr>
        <w:t xml:space="preserve">Financiamento</w:t>
      </w:r>
      <w:r>
        <w:rPr>
          <w:rFonts w:ascii="Garamond" w:eastAsia="Garamond" w:hAnsi="Garamond" w:cs="Garamond"/>
          <w:b/>
          <w:bCs/>
          <w:sz w:val="21"/>
          <w:szCs w:val="21"/>
        </w:rPr>
        <w:t xml:space="preserve">  /  </w:t>
      </w:r>
      <w:r>
        <w:rPr>
          <w:rFonts w:ascii="Garamond" w:eastAsia="Garamond" w:hAnsi="Garamond" w:cs="Garamond"/>
          <w:b/>
          <w:bCs/>
          <w:i/>
          <w:iCs/>
          <w:color w:val="595959"/>
          <w:sz w:val="21"/>
          <w:szCs w:val="21"/>
        </w:rPr>
        <w:t xml:space="preserve">Funding</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A pesquisa não recebeu financiamento.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The research received no funding.</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A pesquisa recebeu financiamento, conforme descrito abaixo.</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The research received funding, as described below.</w:t>
      </w:r>
    </w:p>
    <w:p>
      <w:pPr>
        <w:rPr>
          <w:rFonts w:ascii="Garamond" w:eastAsia="Garamond" w:hAnsi="Garamond" w:cs="Garamond"/>
        </w:rPr>
      </w:pPr>
    </w:p>
    <w:p>
      <w:pPr>
        <w:spacing w:after="0"/>
        <w:rPr>
          <w:rFonts w:ascii="Garamond" w:eastAsia="Garamond" w:hAnsi="Garamond" w:cs="Garamond"/>
        </w:rPr>
      </w:pPr>
      <w:r>
        <w:rPr>
          <w:rFonts w:ascii="Garamond" w:eastAsia="Garamond" w:hAnsi="Garamond" w:cs="Garamond"/>
          <w:b/>
          <w:bCs/>
          <w:sz w:val="21"/>
          <w:szCs w:val="21"/>
        </w:rPr>
        <w:t xml:space="preserve">Fontes de financiamento </w:t>
      </w:r>
      <w:r>
        <w:rPr>
          <w:rFonts w:ascii="Garamond" w:eastAsia="Garamond" w:hAnsi="Garamond" w:cs="Garamond"/>
          <w:i/>
          <w:iCs/>
          <w:sz w:val="21"/>
          <w:szCs w:val="21"/>
        </w:rPr>
        <w:t xml:space="preserve">(agência, programa, número do processo/bolsa)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Funding sources (agency, programme, grant number)</w:t>
      </w:r>
      <w:r>
        <w:rPr>
          <w:rFonts w:ascii="Garamond" w:eastAsia="Garamond" w:hAnsi="Garamond" w:cs="Garamond"/>
          <w:sz w:val="21"/>
          <w:szCs w:val="21"/>
        </w:rPr>
        <w:t xml:space="preserve">:</w:t>
      </w:r>
    </w:p>
    <w:tbl>
      <w:tblPr>
        <w:tblW w:w="8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8640"/>
      </w:tblGrid>
      <w:tr>
        <w:tc>
          <w:tcPr>
            <w:tcW w:w="8640" w:type="dxa"/>
          </w:tcPr>
          <w:p>
            <w:pPr>
              <w:spacing w:after="0"/>
              <w:rPr>
                <w:rFonts w:ascii="Garamond" w:eastAsia="Garamond" w:hAnsi="Garamond" w:cs="Garamond"/>
              </w:rPr>
            </w:pPr>
          </w:p>
          <w:p>
            <w:pPr>
              <w:spacing w:after="0"/>
              <w:rPr>
                <w:rFonts w:ascii="Garamond" w:eastAsia="Garamond" w:hAnsi="Garamond" w:cs="Garamond"/>
              </w:rPr>
            </w:pPr>
          </w:p>
        </w:tc>
      </w:tr>
    </w:tbl>
    <w:p>
      <w:pPr>
        <w:spacing w:after="140"/>
        <w:rPr>
          <w:rFonts w:ascii="Garamond" w:eastAsia="Garamond" w:hAnsi="Garamond" w:cs="Garamond"/>
        </w:rPr>
      </w:pPr>
    </w:p>
    <w:p>
      <w:pPr>
        <w:spacing w:after="0"/>
        <w:jc w:val="both"/>
        <w:rPr>
          <w:rFonts w:ascii="Garamond" w:eastAsia="Garamond" w:hAnsi="Garamond" w:cs="Garamond"/>
        </w:rPr>
      </w:pPr>
      <w:r>
        <w:rPr>
          <w:rFonts w:ascii="Garamond" w:eastAsia="Garamond" w:hAnsi="Garamond" w:cs="Garamond"/>
          <w:sz w:val="21"/>
          <w:szCs w:val="21"/>
        </w:rPr>
        <w:t xml:space="preserve">Na modalidade de Avaliação Cega Tradicional, esta informação é prestada exclusivamente à editoria por meio deste Formulário e será incorporada ao texto somente após o aceite, preservando-se a anonimização durante a avaliação.</w:t>
      </w:r>
    </w:p>
    <w:p>
      <w:pPr>
        <w:spacing w:after="120"/>
        <w:jc w:val="both"/>
        <w:rPr>
          <w:rFonts w:ascii="Garamond" w:eastAsia="Garamond" w:hAnsi="Garamond" w:cs="Garamond"/>
        </w:rPr>
      </w:pPr>
      <w:r>
        <w:rPr>
          <w:rFonts w:ascii="Garamond" w:eastAsia="Garamond" w:hAnsi="Garamond" w:cs="Garamond"/>
          <w:i/>
          <w:iCs/>
          <w:color w:val="595959"/>
          <w:sz w:val="21"/>
          <w:szCs w:val="21"/>
        </w:rPr>
        <w:t xml:space="preserve">Under the Double Blind Peer Review option, this information is provided exclusively to the editorial team through this Form and will be incorporated into the text only after acceptance, preserving anonymisation during the review.</w:t>
      </w:r>
    </w:p>
    <w:p>
      <w:pPr>
        <w:pStyle w:val="Ttulo2"/>
        <w:spacing w:before="280" w:after="0"/>
        <w:jc w:val="center"/>
        <w:rPr>
          <w:rFonts w:ascii="Garamond" w:eastAsia="Garamond" w:hAnsi="Garamond" w:cs="Garamond"/>
        </w:rPr>
      </w:pPr>
      <w:r>
        <w:rPr>
          <w:rFonts w:ascii="Garamond" w:eastAsia="Garamond" w:hAnsi="Garamond" w:cs="Garamond"/>
          <w:b/>
          <w:bCs/>
          <w:color w:val="000000"/>
          <w:sz w:val="22"/>
          <w:szCs w:val="22"/>
        </w:rPr>
        <w:t xml:space="preserve">PARTE 7 – DECLARAÇÃO FINAL DOS AUTORES</w:t>
      </w:r>
    </w:p>
    <w:p>
      <w:pPr>
        <w:spacing w:after="120"/>
        <w:jc w:val="center"/>
        <w:rPr>
          <w:rFonts w:ascii="Garamond" w:eastAsia="Garamond" w:hAnsi="Garamond" w:cs="Garamond"/>
        </w:rPr>
      </w:pPr>
      <w:r>
        <w:rPr>
          <w:rFonts w:ascii="Garamond" w:eastAsia="Garamond" w:hAnsi="Garamond" w:cs="Garamond"/>
          <w:b/>
          <w:bCs/>
          <w:i/>
          <w:iCs/>
          <w:color w:val="595959"/>
          <w:sz w:val="21"/>
          <w:szCs w:val="21"/>
        </w:rPr>
        <w:t xml:space="preserve">PART 7 – FINAL DECLARATION BY THE AUTHORS</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Confirmo que todas as informações acima são verdadeiras e foram preenchidas com ciência de todos os autores.</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 confirm that all the information above is true and was completed with the knowledge of all authors.</w:t>
      </w:r>
    </w:p>
    <w:p>
      <w:pPr>
        <w:spacing w:after="40"/>
        <w:ind w:left="284"/>
        <w:rPr>
          <w:rFonts w:ascii="Garamond" w:eastAsia="Garamond" w:hAnsi="Garamond" w:cs="Garamond"/>
        </w:rPr>
      </w:pPr>
      <w:r>
        <w:rPr>
          <w:rFonts w:ascii="Garamond" w:eastAsia="Garamond" w:hAnsi="Garamond" w:cs="Garamond"/>
          <w:sz w:val="21"/>
          <w:szCs w:val="21"/>
        </w:rPr>
        <w:t xml:space="preserve">[    ]  </w:t>
      </w:r>
      <w:r>
        <w:rPr>
          <w:rFonts w:ascii="Garamond" w:eastAsia="Garamond" w:hAnsi="Garamond" w:cs="Garamond"/>
          <w:sz w:val="21"/>
          <w:szCs w:val="21"/>
        </w:rPr>
        <w:t xml:space="preserve">Concordo em ter meus dados coletados e armazenados, segundo a LGPD.</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I agree to have my data collected and stored in accordance with the Brazilian General Data Protection Law (LGPD).</w:t>
      </w:r>
    </w:p>
    <w:p>
      <w:pPr>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Assinatura </w:t>
      </w:r>
      <w:r>
        <w:rPr>
          <w:rFonts w:ascii="Garamond" w:eastAsia="Garamond" w:hAnsi="Garamond" w:cs="Garamond"/>
          <w:i/>
          <w:iCs/>
          <w:sz w:val="21"/>
          <w:szCs w:val="21"/>
        </w:rPr>
        <w:t xml:space="preserve">(pode ser digital ou escaneada)</w:t>
      </w:r>
      <w:r>
        <w:rPr>
          <w:rFonts w:ascii="Garamond" w:eastAsia="Garamond" w:hAnsi="Garamond" w:cs="Garamond"/>
          <w:sz w:val="21"/>
          <w:szCs w:val="21"/>
        </w:rPr>
        <w:t xml:space="preserve">  /  </w:t>
      </w:r>
      <w:r>
        <w:rPr>
          <w:rFonts w:ascii="Garamond" w:eastAsia="Garamond" w:hAnsi="Garamond" w:cs="Garamond"/>
          <w:i/>
          <w:iCs/>
          <w:color w:val="595959"/>
          <w:sz w:val="21"/>
          <w:szCs w:val="21"/>
        </w:rPr>
        <w:t xml:space="preserve">Signature (digital or scanned)</w:t>
      </w:r>
      <w:r>
        <w:rPr>
          <w:rFonts w:ascii="Garamond" w:eastAsia="Garamond" w:hAnsi="Garamond" w:cs="Garamond"/>
          <w:sz w:val="21"/>
          <w:szCs w:val="21"/>
        </w:rPr>
        <w:t xml:space="preserve">:</w:t>
      </w:r>
    </w:p>
    <w:tbl>
      <w:tblPr>
        <w:tblW w:w="52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5200"/>
      </w:tblGrid>
      <w:tr>
        <w:tc>
          <w:tcPr>
            <w:tcW w:w="5200" w:type="dxa"/>
          </w:tcPr>
          <w:p>
            <w:pPr>
              <w:spacing w:after="0"/>
              <w:rPr>
                <w:rFonts w:ascii="Garamond" w:eastAsia="Garamond" w:hAnsi="Garamond" w:cs="Garamond"/>
              </w:rPr>
            </w:pPr>
          </w:p>
          <w:p>
            <w:pPr>
              <w:spacing w:after="0"/>
              <w:rPr>
                <w:rFonts w:ascii="Garamond" w:eastAsia="Garamond" w:hAnsi="Garamond" w:cs="Garamond"/>
              </w:rPr>
            </w:pPr>
          </w:p>
        </w:tc>
      </w:tr>
    </w:tbl>
    <w:p>
      <w:pPr>
        <w:spacing w:after="140"/>
        <w:rPr>
          <w:rFonts w:ascii="Garamond" w:eastAsia="Garamond" w:hAnsi="Garamond" w:cs="Garamond"/>
        </w:rPr>
      </w:pPr>
    </w:p>
    <w:p>
      <w:pPr>
        <w:spacing w:after="60"/>
        <w:rPr>
          <w:rFonts w:ascii="Garamond" w:eastAsia="Garamond" w:hAnsi="Garamond" w:cs="Garamond"/>
        </w:rPr>
      </w:pPr>
      <w:r>
        <w:rPr>
          <w:rFonts w:ascii="Garamond" w:eastAsia="Garamond" w:hAnsi="Garamond" w:cs="Garamond"/>
          <w:b/>
          <w:bCs/>
          <w:sz w:val="21"/>
          <w:szCs w:val="21"/>
        </w:rPr>
        <w:t xml:space="preserve">Data  /  </w:t>
      </w:r>
      <w:r>
        <w:rPr>
          <w:rFonts w:ascii="Garamond" w:eastAsia="Garamond" w:hAnsi="Garamond" w:cs="Garamond"/>
          <w:i/>
          <w:iCs/>
          <w:color w:val="595959"/>
          <w:sz w:val="21"/>
          <w:szCs w:val="21"/>
        </w:rPr>
        <w:t xml:space="preserve">Date</w:t>
      </w:r>
      <w:r>
        <w:rPr>
          <w:rFonts w:ascii="Garamond" w:eastAsia="Garamond" w:hAnsi="Garamond" w:cs="Garamond"/>
          <w:sz w:val="21"/>
          <w:szCs w:val="21"/>
        </w:rPr>
        <w:t xml:space="preserve">:</w:t>
      </w:r>
    </w:p>
    <w:tbl>
      <w:tblPr>
        <w:tblW w:w="2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8" w:type="dxa"/>
          <w:bottom w:w="60" w:type="dxa"/>
          <w:right w:w="108" w:type="dxa"/>
        </w:tblCellMar>
      </w:tblPr>
      <w:tblGrid>
        <w:gridCol w:w="2600"/>
      </w:tblGrid>
      <w:tr>
        <w:tc>
          <w:tcPr>
            <w:tcW w:w="2600" w:type="dxa"/>
          </w:tcPr>
          <w:p>
            <w:pPr>
              <w:spacing w:after="0"/>
              <w:rPr>
                <w:rFonts w:ascii="Garamond" w:eastAsia="Garamond" w:hAnsi="Garamond" w:cs="Garamond"/>
              </w:rPr>
            </w:pPr>
          </w:p>
        </w:tc>
      </w:tr>
    </w:tbl>
    <w:p>
      <w:pPr>
        <w:spacing w:after="0"/>
        <w:rPr>
          <w:rFonts w:ascii="Garamond" w:eastAsia="Garamond" w:hAnsi="Garamond" w:cs="Garamond"/>
        </w:rPr>
      </w:pPr>
    </w:p>
    <w:sectPr w:rsidR="00480EB4">
      <w:headerReference w:type="default" r:id="rId13"/>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FA48" w14:textId="77777777" w:rsidR="007808F0" w:rsidRDefault="007808F0">
      <w:pPr>
        <w:spacing w:after="0" w:line="240" w:lineRule="auto"/>
      </w:pPr>
      <w:r>
        <w:separator/>
      </w:r>
    </w:p>
  </w:endnote>
  <w:endnote w:type="continuationSeparator" w:id="0">
    <w:p w14:paraId="13FBA419" w14:textId="77777777" w:rsidR="007808F0" w:rsidRDefault="0078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95FF40E-20FE-1C41-B5CF-5D7CBF2223C7}"/>
    <w:embedBold r:id="rId2" w:fontKey="{47D9790D-56B3-404D-A31E-D85D93985B3F}"/>
    <w:embedItalic r:id="rId3" w:fontKey="{5A5AFEE9-F8A2-D042-8FCF-93C714E96B47}"/>
    <w:embedBoldItalic r:id="rId4" w:fontKey="{7ECC81B3-AE08-F745-8D45-E87DE0E5FE65}"/>
  </w:font>
  <w:font w:name="Noto Sans Symbols">
    <w:panose1 w:val="020B0604020202020204"/>
    <w:charset w:val="00"/>
    <w:family w:val="auto"/>
    <w:pitch w:val="default"/>
    <w:embedRegular r:id="rId5" w:fontKey="{F92CB780-A920-0644-9AA8-DA78005B193F}"/>
  </w:font>
  <w:font w:name="Courier New">
    <w:panose1 w:val="02070309020205020404"/>
    <w:charset w:val="00"/>
    <w:family w:val="modern"/>
    <w:pitch w:val="fixed"/>
    <w:sig w:usb0="E0002AFF" w:usb1="C0007843" w:usb2="00000009" w:usb3="00000000" w:csb0="000001FF" w:csb1="00000000"/>
    <w:embedRegular r:id="rId6" w:fontKey="{06DE43A5-26A9-0249-918D-793362C19D95}"/>
  </w:font>
  <w:font w:name="Cambria">
    <w:panose1 w:val="02040503050406030204"/>
    <w:charset w:val="00"/>
    <w:family w:val="roman"/>
    <w:pitch w:val="variable"/>
    <w:sig w:usb0="E00002FF" w:usb1="400004FF" w:usb2="00000000" w:usb3="00000000" w:csb0="0000019F" w:csb1="00000000"/>
    <w:embedRegular r:id="rId7" w:fontKey="{BCE50CDD-D4ED-D54D-8BD3-2347DFB4A34F}"/>
    <w:embedBold r:id="rId8" w:fontKey="{6DD06AB9-2725-EA4A-B155-F7F2301E59F2}"/>
    <w:embedItalic r:id="rId9" w:fontKey="{97203A93-3E9F-244D-984F-3E079F9F2D6A}"/>
    <w:embedBoldItalic r:id="rId10" w:fontKey="{F58D8AEE-43E0-6847-9EE3-4B8D4E9ED637}"/>
  </w:font>
  <w:font w:name="Calibri">
    <w:panose1 w:val="020F0502020204030204"/>
    <w:charset w:val="00"/>
    <w:family w:val="swiss"/>
    <w:pitch w:val="variable"/>
    <w:sig w:usb0="E0002AFF" w:usb1="C000247B" w:usb2="00000009" w:usb3="00000000" w:csb0="000001FF" w:csb1="00000000"/>
    <w:embedRegular r:id="rId11" w:fontKey="{3D08DB33-286F-094E-8DF9-CA3E2D12415E}"/>
    <w:embedBold r:id="rId12" w:fontKey="{D6902AA9-D337-2740-BF47-F4939971A7D8}"/>
    <w:embedItalic r:id="rId13" w:fontKey="{9DD25F2C-6ED5-9347-A386-56E38A3391AF}"/>
    <w:embedBoldItalic r:id="rId14" w:fontKey="{54210273-3467-8B44-84A6-4AC9A7122FDC}"/>
  </w:font>
  <w:font w:name="Courier">
    <w:panose1 w:val="02070309020205020404"/>
    <w:charset w:val="00"/>
    <w:family w:val="auto"/>
    <w:pitch w:val="variable"/>
    <w:sig w:usb0="00000003" w:usb1="00000000" w:usb2="00000000" w:usb3="00000000" w:csb0="00000001" w:csb1="00000000"/>
    <w:embedRegular r:id="rId15" w:fontKey="{95F83BC1-A3FA-CE47-AC56-289452A16A7E}"/>
  </w:font>
  <w:font w:name="Garamond">
    <w:panose1 w:val="02020404030301010803"/>
    <w:charset w:val="00"/>
    <w:family w:val="roman"/>
    <w:pitch w:val="variable"/>
    <w:sig w:usb0="00000287" w:usb1="00000002" w:usb2="00000000" w:usb3="00000000" w:csb0="0000009F" w:csb1="00000000"/>
    <w:embedRegular r:id="rId16" w:fontKey="{084AA37C-A0DF-D047-BB25-3FC329D7892A}"/>
    <w:embedBold r:id="rId17" w:fontKey="{48696C39-ABD2-834A-BC7B-DBDC5B71ADD9}"/>
    <w:embedItalic r:id="rId18" w:fontKey="{780C72E1-B856-1247-9819-D9A1AA3315E8}"/>
    <w:embedBoldItalic r:id="rId19" w:fontKey="{8348084C-2CB5-3F44-B5E7-53A79CD9CF1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230A" w14:textId="77777777" w:rsidR="007808F0" w:rsidRDefault="007808F0">
      <w:pPr>
        <w:spacing w:after="0" w:line="240" w:lineRule="auto"/>
      </w:pPr>
      <w:r>
        <w:separator/>
      </w:r>
    </w:p>
  </w:footnote>
  <w:footnote w:type="continuationSeparator" w:id="0">
    <w:p w14:paraId="59805284" w14:textId="77777777" w:rsidR="007808F0" w:rsidRDefault="00780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28DD" w14:textId="77777777" w:rsidR="00480EB4"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0BA6B9BD" wp14:editId="16304DF2">
          <wp:extent cx="5486400" cy="1125220"/>
          <wp:effectExtent l="0" t="0" r="0" b="0"/>
          <wp:docPr id="532163048" name="image1.png" descr="Placa azul com letras brancas em fundo pre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Placa azul com letras brancas em fundo preto&#10;&#10;O conteúdo gerado por IA pode estar incorreto."/>
                  <pic:cNvPicPr preferRelativeResize="0"/>
                </pic:nvPicPr>
                <pic:blipFill>
                  <a:blip r:embed="rId1"/>
                  <a:srcRect/>
                  <a:stretch>
                    <a:fillRect/>
                  </a:stretch>
                </pic:blipFill>
                <pic:spPr>
                  <a:xfrm>
                    <a:off x="0" y="0"/>
                    <a:ext cx="5486400" cy="1125220"/>
                  </a:xfrm>
                  <a:prstGeom prst="rect">
                    <a:avLst/>
                  </a:prstGeom>
                  <a:ln/>
                </pic:spPr>
              </pic:pic>
            </a:graphicData>
          </a:graphic>
        </wp:inline>
      </w:drawing>
    </w:r>
  </w:p>
  <w:p w14:paraId="08D86D79" w14:textId="77777777" w:rsidR="00480EB4" w:rsidRDefault="00480EB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4CAB"/>
    <w:multiLevelType w:val="multilevel"/>
    <w:tmpl w:val="0E4CC54A"/>
    <w:lvl w:ilvl="0">
      <w:start w:val="1"/>
      <w:numFmt w:val="decimal"/>
      <w:pStyle w:val="Commarcadores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E61520"/>
    <w:multiLevelType w:val="multilevel"/>
    <w:tmpl w:val="405C7778"/>
    <w:lvl w:ilvl="0">
      <w:start w:val="1"/>
      <w:numFmt w:val="bullet"/>
      <w:pStyle w:val="Commarcador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F236459"/>
    <w:multiLevelType w:val="multilevel"/>
    <w:tmpl w:val="0E982372"/>
    <w:lvl w:ilvl="0">
      <w:start w:val="1"/>
      <w:numFmt w:val="bullet"/>
      <w:pStyle w:val="Commarcadores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B7D4150"/>
    <w:multiLevelType w:val="multilevel"/>
    <w:tmpl w:val="A7B6630A"/>
    <w:lvl w:ilvl="0">
      <w:start w:val="1"/>
      <w:numFmt w:val="decimal"/>
      <w:pStyle w:val="Numerad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97776422">
    <w:abstractNumId w:val="1"/>
  </w:num>
  <w:num w:numId="2" w16cid:durableId="363750568">
    <w:abstractNumId w:val="2"/>
  </w:num>
  <w:num w:numId="3" w16cid:durableId="259025918">
    <w:abstractNumId w:val="0"/>
  </w:num>
  <w:num w:numId="4" w16cid:durableId="1728260795">
    <w:abstractNumId w:val="3"/>
  </w:num>
  <w:num w:numId="5" w16cid:durableId="1928151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63566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EB4"/>
    <w:rsid w:val="000154F6"/>
    <w:rsid w:val="00186344"/>
    <w:rsid w:val="00480EB4"/>
    <w:rsid w:val="007808F0"/>
    <w:rsid w:val="00C73085"/>
    <w:rsid w:val="00DD2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A82A4E9"/>
  <w15:docId w15:val="{A6D7378D-21EC-1D4F-8E81-728789B9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Ttulo2">
    <w:name w:val="heading 2"/>
    <w:basedOn w:val="Normal"/>
    <w:next w:val="Normal"/>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Ttulo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uiPriority w:val="9"/>
    <w:rsid w:val="00FC693F"/>
    <w:rPr>
      <w:rFonts w:asciiTheme="majorHAnsi" w:eastAsiaTheme="majorEastAsia" w:hAnsiTheme="majorHAnsi" w:cstheme="majorBidi"/>
      <w:b/>
      <w:bCs/>
      <w:color w:val="4F81BD" w:themeColor="accent1"/>
    </w:rPr>
  </w:style>
  <w:style w:type="character" w:customStyle="1" w:styleId="TtuloChar">
    <w:name w:val="Título Char"/>
    <w:basedOn w:val="Fontepargpadro"/>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tuloChar">
    <w:name w:val="Subtítulo Char"/>
    <w:basedOn w:val="Fontepargpadr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4"/>
      </w:numPr>
      <w:contextualSpacing/>
    </w:pPr>
  </w:style>
  <w:style w:type="paragraph" w:styleId="Numerada2">
    <w:name w:val="List Number 2"/>
    <w:basedOn w:val="Normal"/>
    <w:uiPriority w:val="99"/>
    <w:unhideWhenUsed/>
    <w:rsid w:val="0029639D"/>
    <w:pPr>
      <w:tabs>
        <w:tab w:val="num" w:pos="720"/>
      </w:tabs>
      <w:ind w:left="720" w:hanging="720"/>
      <w:contextualSpacing/>
    </w:pPr>
  </w:style>
  <w:style w:type="paragraph" w:styleId="Numerada3">
    <w:name w:val="List Number 3"/>
    <w:basedOn w:val="Normal"/>
    <w:uiPriority w:val="99"/>
    <w:unhideWhenUsed/>
    <w:rsid w:val="0029639D"/>
    <w:pPr>
      <w:tabs>
        <w:tab w:val="num" w:pos="720"/>
      </w:tabs>
      <w:ind w:left="720" w:hanging="720"/>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next w:val="Normal"/>
    <w:uiPriority w:val="39"/>
    <w:semiHidden/>
    <w:unhideWhenUsed/>
    <w:qFormat/>
    <w:rsid w:val="00FC693F"/>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94A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6D4522"/>
    <w:rPr>
      <w:color w:val="0000FF" w:themeColor="hyperlink"/>
      <w:u w:val="single"/>
    </w:rPr>
  </w:style>
  <w:style w:type="character" w:styleId="MenoPendente">
    <w:name w:val="Unresolved Mention"/>
    <w:basedOn w:val="Fontepargpadro"/>
    <w:uiPriority w:val="99"/>
    <w:semiHidden/>
    <w:unhideWhenUsed/>
    <w:rsid w:val="006D4522"/>
    <w:rPr>
      <w:color w:val="605E5C"/>
      <w:shd w:val="clear" w:color="auto" w:fill="E1DFDD"/>
    </w:rPr>
  </w:style>
  <w:style w:type="paragraph" w:styleId="Subttulo">
    <w:name w:val="Subtitle"/>
    <w:basedOn w:val="Normal"/>
    <w:next w:val="Normal"/>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fontTable" Target="fontTable.xml"/><Relationship Id="rId100" Type="http://schemas.openxmlformats.org/officeDocument/2006/relationships/hyperlink" Target="https://ojs.unifor.br/rpen/about/submissions" TargetMode="External"/><Relationship Id="rId101" Type="http://schemas.openxmlformats.org/officeDocument/2006/relationships/hyperlink" Target="https://credit.niso.org/" TargetMode="External"/><Relationship Id="rId102" Type="http://schemas.openxmlformats.org/officeDocument/2006/relationships/hyperlink" Target="https://ojs.unifor.br/rpen/politicaeditorialcienciaaberta" TargetMode="External"/><Relationship Id="rId103" Type="http://schemas.openxmlformats.org/officeDocument/2006/relationships/hyperlink" Target="https://ojs.unifor.br/rpen/preprints" TargetMode="External"/><Relationship Id="rId104" Type="http://schemas.openxmlformats.org/officeDocument/2006/relationships/hyperlink" Target="https://www.icmje.org/recommendations/browse/roles-and-responsibilities/defining-the-role-of-authors-and-contributors.html" TargetMode="External"/><Relationship Id="rId105" Type="http://schemas.openxmlformats.org/officeDocument/2006/relationships/hyperlink" Target="https://ojs.unifor.br/rpen/conflitointeresse" TargetMode="External"/><Relationship Id="rId106" Type="http://schemas.openxmlformats.org/officeDocument/2006/relationships/hyperlink" Target="https://orcid.org/" TargetMode="External"/><Relationship Id="rId107" Type="http://schemas.openxmlformats.org/officeDocument/2006/relationships/hyperlink" Target="http://lattes.cnpq.b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Rvfm0Qs1V0r9lqEXGr8q3O3Ftw==">CgMxLjAyDWguZmhjYmx4MzQ5ZzAyDmguZmoxMzQ0Nmd2c25wMg5oLmVhZm9weTJmOTZqNDIOaC5naWJ4bGhwcDhqdGU4AHIhMWczTnQwSEJIRUVzMzJUdW01c1J1WU5IdzRRUExOT09f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1314</Words>
  <Characters>7100</Characters>
  <Application>Microsoft Office Word</Application>
  <DocSecurity>0</DocSecurity>
  <Lines>59</Lines>
  <Paragraphs>16</Paragraphs>
  <ScaleCrop>false</ScaleCrop>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Sidney Filho</cp:lastModifiedBy>
  <cp:revision>3</cp:revision>
  <dcterms:created xsi:type="dcterms:W3CDTF">2025-10-08T18:21:00Z</dcterms:created>
  <dcterms:modified xsi:type="dcterms:W3CDTF">2026-03-03T21:33:00Z</dcterms:modified>
</cp:coreProperties>
</file>