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93E7F6" w14:textId="77777777" w:rsidR="00C260B9" w:rsidRDefault="00000000">
      <w:pPr>
        <w:pStyle w:val="PensarInstruoapagar"/>
      </w:pPr>
      <w:r>
        <w:t xml:space="preserve">Substitua os textos entre colchetes. Aplique os estilos “Pensar”, listados na galeria de Estilos do Word.  ·  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bracketed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.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“Pensar”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listed</w:t>
      </w:r>
      <w:proofErr w:type="spellEnd"/>
      <w:r>
        <w:t xml:space="preserve"> in </w:t>
      </w:r>
      <w:proofErr w:type="spellStart"/>
      <w:r>
        <w:t>Word’s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  <w:proofErr w:type="spellStart"/>
      <w:r>
        <w:t>gallery</w:t>
      </w:r>
      <w:proofErr w:type="spellEnd"/>
      <w:r>
        <w:t>.</w:t>
      </w:r>
    </w:p>
    <w:p w14:paraId="42367A0B" w14:textId="77777777" w:rsidR="00C260B9" w:rsidRDefault="00000000">
      <w:pPr>
        <w:pStyle w:val="PensarTtulodoArtigo"/>
      </w:pPr>
      <w:r>
        <w:t>[Título em português]</w:t>
      </w:r>
    </w:p>
    <w:p w14:paraId="3EF4E23F" w14:textId="77777777" w:rsidR="00C260B9" w:rsidRDefault="00000000">
      <w:pPr>
        <w:pStyle w:val="PensarTtulodoArtigo"/>
      </w:pPr>
      <w:r>
        <w:rPr>
          <w:i/>
          <w:iCs/>
        </w:rPr>
        <w:t>[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English</w:t>
      </w:r>
      <w:proofErr w:type="spellEnd"/>
      <w:r>
        <w:rPr>
          <w:i/>
          <w:iCs/>
        </w:rPr>
        <w:t>]</w:t>
      </w:r>
    </w:p>
    <w:p w14:paraId="53985417" w14:textId="77777777" w:rsidR="00C260B9" w:rsidRDefault="00000000">
      <w:pPr>
        <w:pStyle w:val="PensarTtulodoArtigo"/>
      </w:pPr>
      <w:r>
        <w:rPr>
          <w:i/>
          <w:iCs/>
        </w:rPr>
        <w:t xml:space="preserve">[Título </w:t>
      </w:r>
      <w:proofErr w:type="spellStart"/>
      <w:r>
        <w:rPr>
          <w:i/>
          <w:iCs/>
        </w:rPr>
        <w:t>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español</w:t>
      </w:r>
      <w:proofErr w:type="spellEnd"/>
      <w:r>
        <w:rPr>
          <w:i/>
          <w:iCs/>
        </w:rPr>
        <w:t>]</w:t>
      </w:r>
    </w:p>
    <w:p w14:paraId="28868984" w14:textId="77777777" w:rsidR="00A859F6" w:rsidRDefault="00A859F6" w:rsidP="00A859F6">
      <w:pPr>
        <w:pStyle w:val="PensarInstruoapagar"/>
        <w:rPr>
          <w:sz w:val="20"/>
          <w:szCs w:val="20"/>
        </w:rPr>
      </w:pPr>
    </w:p>
    <w:p w14:paraId="24344810" w14:textId="33F71251" w:rsidR="00A859F6" w:rsidRPr="00A859F6" w:rsidRDefault="00A859F6" w:rsidP="00A859F6">
      <w:pPr>
        <w:pStyle w:val="PensarInstruoapagar"/>
        <w:rPr>
          <w:sz w:val="20"/>
          <w:szCs w:val="20"/>
        </w:rPr>
      </w:pPr>
      <w:r w:rsidRPr="00A859F6">
        <w:rPr>
          <w:sz w:val="20"/>
          <w:szCs w:val="20"/>
        </w:rPr>
        <w:t xml:space="preserve">O arquivo do manuscrito deve ser enviado totalmente anonimizado (sem nomes, filiações ou dados de identificação no corpo do texto ou nas propriedades do arquivo), ainda que a opção pela Avaliação Aberta (Open </w:t>
      </w:r>
      <w:proofErr w:type="spellStart"/>
      <w:r w:rsidRPr="00A859F6">
        <w:rPr>
          <w:sz w:val="20"/>
          <w:szCs w:val="20"/>
        </w:rPr>
        <w:t>Peer</w:t>
      </w:r>
      <w:proofErr w:type="spellEnd"/>
      <w:r w:rsidRPr="00A859F6">
        <w:rPr>
          <w:sz w:val="20"/>
          <w:szCs w:val="20"/>
        </w:rPr>
        <w:t xml:space="preserve"> Review) tenha sido selecionada no Formulário de Submissão.</w:t>
      </w:r>
    </w:p>
    <w:p w14:paraId="4AD353D6" w14:textId="77777777" w:rsidR="00A859F6" w:rsidRDefault="00A859F6" w:rsidP="00A859F6">
      <w:pPr>
        <w:pStyle w:val="PensarInstruoapagar"/>
        <w:rPr>
          <w:sz w:val="20"/>
          <w:szCs w:val="20"/>
        </w:rPr>
      </w:pPr>
    </w:p>
    <w:p w14:paraId="2F7AC137" w14:textId="28440D57" w:rsidR="00A859F6" w:rsidRDefault="00A859F6" w:rsidP="00A859F6">
      <w:pPr>
        <w:pStyle w:val="PensarInstruoapagar"/>
        <w:rPr>
          <w:sz w:val="20"/>
          <w:szCs w:val="20"/>
        </w:rPr>
      </w:pPr>
      <w:r w:rsidRPr="00A859F6">
        <w:rPr>
          <w:sz w:val="20"/>
          <w:szCs w:val="20"/>
        </w:rPr>
        <w:t xml:space="preserve">The </w:t>
      </w:r>
      <w:proofErr w:type="spellStart"/>
      <w:r w:rsidRPr="00A859F6">
        <w:rPr>
          <w:sz w:val="20"/>
          <w:szCs w:val="20"/>
        </w:rPr>
        <w:t>manuscript</w:t>
      </w:r>
      <w:proofErr w:type="spellEnd"/>
      <w:r w:rsidRPr="00A859F6">
        <w:rPr>
          <w:sz w:val="20"/>
          <w:szCs w:val="20"/>
        </w:rPr>
        <w:t xml:space="preserve"> file must </w:t>
      </w:r>
      <w:proofErr w:type="spellStart"/>
      <w:r w:rsidRPr="00A859F6">
        <w:rPr>
          <w:sz w:val="20"/>
          <w:szCs w:val="20"/>
        </w:rPr>
        <w:t>be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submitted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completely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anonymized</w:t>
      </w:r>
      <w:proofErr w:type="spellEnd"/>
      <w:r w:rsidRPr="00A859F6">
        <w:rPr>
          <w:sz w:val="20"/>
          <w:szCs w:val="20"/>
        </w:rPr>
        <w:t xml:space="preserve"> (</w:t>
      </w:r>
      <w:proofErr w:type="spellStart"/>
      <w:r w:rsidRPr="00A859F6">
        <w:rPr>
          <w:sz w:val="20"/>
          <w:szCs w:val="20"/>
        </w:rPr>
        <w:t>without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names</w:t>
      </w:r>
      <w:proofErr w:type="spellEnd"/>
      <w:r w:rsidRPr="00A859F6">
        <w:rPr>
          <w:sz w:val="20"/>
          <w:szCs w:val="20"/>
        </w:rPr>
        <w:t xml:space="preserve">, </w:t>
      </w:r>
      <w:proofErr w:type="spellStart"/>
      <w:r w:rsidRPr="00A859F6">
        <w:rPr>
          <w:sz w:val="20"/>
          <w:szCs w:val="20"/>
        </w:rPr>
        <w:t>affiliations</w:t>
      </w:r>
      <w:proofErr w:type="spellEnd"/>
      <w:r w:rsidRPr="00A859F6">
        <w:rPr>
          <w:sz w:val="20"/>
          <w:szCs w:val="20"/>
        </w:rPr>
        <w:t xml:space="preserve">, </w:t>
      </w:r>
      <w:proofErr w:type="spellStart"/>
      <w:r w:rsidRPr="00A859F6">
        <w:rPr>
          <w:sz w:val="20"/>
          <w:szCs w:val="20"/>
        </w:rPr>
        <w:t>or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identification</w:t>
      </w:r>
      <w:proofErr w:type="spellEnd"/>
      <w:r w:rsidRPr="00A859F6">
        <w:rPr>
          <w:sz w:val="20"/>
          <w:szCs w:val="20"/>
        </w:rPr>
        <w:t xml:space="preserve"> data in </w:t>
      </w:r>
      <w:proofErr w:type="spellStart"/>
      <w:r w:rsidRPr="00A859F6">
        <w:rPr>
          <w:sz w:val="20"/>
          <w:szCs w:val="20"/>
        </w:rPr>
        <w:t>the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text</w:t>
      </w:r>
      <w:proofErr w:type="spellEnd"/>
      <w:r w:rsidRPr="00A859F6">
        <w:rPr>
          <w:sz w:val="20"/>
          <w:szCs w:val="20"/>
        </w:rPr>
        <w:t xml:space="preserve"> body </w:t>
      </w:r>
      <w:proofErr w:type="spellStart"/>
      <w:r w:rsidRPr="00A859F6">
        <w:rPr>
          <w:sz w:val="20"/>
          <w:szCs w:val="20"/>
        </w:rPr>
        <w:t>or</w:t>
      </w:r>
      <w:proofErr w:type="spellEnd"/>
      <w:r w:rsidRPr="00A859F6">
        <w:rPr>
          <w:sz w:val="20"/>
          <w:szCs w:val="20"/>
        </w:rPr>
        <w:t xml:space="preserve"> file </w:t>
      </w:r>
      <w:proofErr w:type="spellStart"/>
      <w:r w:rsidRPr="00A859F6">
        <w:rPr>
          <w:sz w:val="20"/>
          <w:szCs w:val="20"/>
        </w:rPr>
        <w:t>properties</w:t>
      </w:r>
      <w:proofErr w:type="spellEnd"/>
      <w:r w:rsidRPr="00A859F6">
        <w:rPr>
          <w:sz w:val="20"/>
          <w:szCs w:val="20"/>
        </w:rPr>
        <w:t xml:space="preserve">), </w:t>
      </w:r>
      <w:proofErr w:type="spellStart"/>
      <w:r w:rsidRPr="00A859F6">
        <w:rPr>
          <w:sz w:val="20"/>
          <w:szCs w:val="20"/>
        </w:rPr>
        <w:t>even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if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the</w:t>
      </w:r>
      <w:proofErr w:type="spellEnd"/>
      <w:r w:rsidRPr="00A859F6">
        <w:rPr>
          <w:sz w:val="20"/>
          <w:szCs w:val="20"/>
        </w:rPr>
        <w:t xml:space="preserve"> Open </w:t>
      </w:r>
      <w:proofErr w:type="spellStart"/>
      <w:r w:rsidRPr="00A859F6">
        <w:rPr>
          <w:sz w:val="20"/>
          <w:szCs w:val="20"/>
        </w:rPr>
        <w:t>Peer</w:t>
      </w:r>
      <w:proofErr w:type="spellEnd"/>
      <w:r w:rsidRPr="00A859F6">
        <w:rPr>
          <w:sz w:val="20"/>
          <w:szCs w:val="20"/>
        </w:rPr>
        <w:t xml:space="preserve"> Review </w:t>
      </w:r>
      <w:proofErr w:type="spellStart"/>
      <w:r w:rsidRPr="00A859F6">
        <w:rPr>
          <w:sz w:val="20"/>
          <w:szCs w:val="20"/>
        </w:rPr>
        <w:t>option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was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selected</w:t>
      </w:r>
      <w:proofErr w:type="spellEnd"/>
      <w:r w:rsidRPr="00A859F6">
        <w:rPr>
          <w:sz w:val="20"/>
          <w:szCs w:val="20"/>
        </w:rPr>
        <w:t xml:space="preserve"> in </w:t>
      </w:r>
      <w:proofErr w:type="spellStart"/>
      <w:r w:rsidRPr="00A859F6">
        <w:rPr>
          <w:sz w:val="20"/>
          <w:szCs w:val="20"/>
        </w:rPr>
        <w:t>the</w:t>
      </w:r>
      <w:proofErr w:type="spellEnd"/>
      <w:r w:rsidRPr="00A859F6">
        <w:rPr>
          <w:sz w:val="20"/>
          <w:szCs w:val="20"/>
        </w:rPr>
        <w:t xml:space="preserve"> </w:t>
      </w:r>
      <w:proofErr w:type="spellStart"/>
      <w:r w:rsidRPr="00A859F6">
        <w:rPr>
          <w:sz w:val="20"/>
          <w:szCs w:val="20"/>
        </w:rPr>
        <w:t>Submission</w:t>
      </w:r>
      <w:proofErr w:type="spellEnd"/>
      <w:r w:rsidRPr="00A859F6">
        <w:rPr>
          <w:sz w:val="20"/>
          <w:szCs w:val="20"/>
        </w:rPr>
        <w:t xml:space="preserve"> Form.</w:t>
      </w:r>
    </w:p>
    <w:p w14:paraId="53E93084" w14:textId="77777777" w:rsidR="00A859F6" w:rsidRPr="00A859F6" w:rsidRDefault="00A859F6" w:rsidP="00A859F6">
      <w:pPr>
        <w:pStyle w:val="PensarCorpo"/>
      </w:pPr>
    </w:p>
    <w:p w14:paraId="550A9CA2" w14:textId="3C193E60" w:rsidR="00C260B9" w:rsidRDefault="00000000">
      <w:pPr>
        <w:pStyle w:val="PensarTtulo1"/>
      </w:pPr>
      <w:r>
        <w:t>Resumo e palavras-chave</w:t>
      </w:r>
    </w:p>
    <w:p w14:paraId="1327C7F9" w14:textId="77777777" w:rsidR="00C260B9" w:rsidRDefault="00000000">
      <w:pPr>
        <w:pStyle w:val="PensarResumo"/>
      </w:pPr>
      <w:r>
        <w:t>Cada resumo deve conter no máximo 250 palavras, em parágrafo único, evitando-se abreviaturas. O resumo e as palavras-chave devem ser apresentados em português, em inglês e em espanhol (e na língua original, quando o texto for redigido em outro idioma). Ao final de cada resumo devem constar de 3 a 6 palavras-chave, precedidas da expressão “Palavras-chave:”, separadas por ponto e vírgula, finalizadas por ponto e escritas em minúsculas, salvo nomes próprios e siglas. A Pensar não adota vocabulário controlado (descritores): as palavras-chave são de livre escolha dos autores, devendo representar o conteúdo do artigo e observar a terminologia consagrada na área jurídica (ABNT NBR 6028:2021).</w:t>
      </w:r>
    </w:p>
    <w:p w14:paraId="782F5C1E" w14:textId="77777777" w:rsidR="00C260B9" w:rsidRDefault="00000000">
      <w:pPr>
        <w:pStyle w:val="PensarTtulo1"/>
      </w:pPr>
      <w:r>
        <w:t xml:space="preserve">Abstract </w:t>
      </w:r>
      <w:proofErr w:type="spellStart"/>
      <w:r>
        <w:t>and</w:t>
      </w:r>
      <w:proofErr w:type="spellEnd"/>
      <w:r>
        <w:t xml:space="preserve"> Keywords</w:t>
      </w:r>
    </w:p>
    <w:p w14:paraId="4BEDE1BC" w14:textId="77777777" w:rsidR="00C260B9" w:rsidRDefault="00000000">
      <w:pPr>
        <w:pStyle w:val="PensarResumo"/>
      </w:pPr>
      <w:proofErr w:type="spellStart"/>
      <w:r>
        <w:t>Each</w:t>
      </w:r>
      <w:proofErr w:type="spellEnd"/>
      <w:r>
        <w:t xml:space="preserve"> abstract must </w:t>
      </w:r>
      <w:proofErr w:type="spellStart"/>
      <w:r>
        <w:t>contain</w:t>
      </w:r>
      <w:proofErr w:type="spellEnd"/>
      <w:r>
        <w:t xml:space="preserve"> no more </w:t>
      </w:r>
      <w:proofErr w:type="spellStart"/>
      <w:r>
        <w:t>than</w:t>
      </w:r>
      <w:proofErr w:type="spellEnd"/>
      <w:r>
        <w:t xml:space="preserve"> 250 words, in a single </w:t>
      </w:r>
      <w:proofErr w:type="spellStart"/>
      <w:r>
        <w:t>paragraph</w:t>
      </w:r>
      <w:proofErr w:type="spellEnd"/>
      <w:r>
        <w:t xml:space="preserve">, </w:t>
      </w:r>
      <w:proofErr w:type="spellStart"/>
      <w:r>
        <w:t>avoiding</w:t>
      </w:r>
      <w:proofErr w:type="spellEnd"/>
      <w:r>
        <w:t xml:space="preserve"> </w:t>
      </w:r>
      <w:proofErr w:type="spellStart"/>
      <w:r>
        <w:t>abbreviations</w:t>
      </w:r>
      <w:proofErr w:type="spellEnd"/>
      <w:r>
        <w:t xml:space="preserve">. The abstract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keywords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in </w:t>
      </w:r>
      <w:proofErr w:type="spellStart"/>
      <w:r>
        <w:t>Portuguese</w:t>
      </w:r>
      <w:proofErr w:type="spellEnd"/>
      <w:r>
        <w:t xml:space="preserve">, in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Spanish (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original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).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abstract, 3 </w:t>
      </w:r>
      <w:proofErr w:type="spellStart"/>
      <w:r>
        <w:t>to</w:t>
      </w:r>
      <w:proofErr w:type="spellEnd"/>
      <w:r>
        <w:t xml:space="preserve"> 6 </w:t>
      </w:r>
      <w:proofErr w:type="spellStart"/>
      <w:r>
        <w:t>keywords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, </w:t>
      </w:r>
      <w:proofErr w:type="spellStart"/>
      <w:r>
        <w:t>preceded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“Keywords:”,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semicolons</w:t>
      </w:r>
      <w:proofErr w:type="spellEnd"/>
      <w:r>
        <w:t xml:space="preserve">, </w:t>
      </w:r>
      <w:proofErr w:type="spellStart"/>
      <w:r>
        <w:t>closed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lower</w:t>
      </w:r>
      <w:proofErr w:type="spellEnd"/>
      <w:r>
        <w:t xml:space="preserve"> case, </w:t>
      </w:r>
      <w:proofErr w:type="spellStart"/>
      <w:r>
        <w:t>except</w:t>
      </w:r>
      <w:proofErr w:type="spellEnd"/>
      <w:r>
        <w:t xml:space="preserve"> for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nouns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acronyms</w:t>
      </w:r>
      <w:proofErr w:type="spellEnd"/>
      <w:r>
        <w:t xml:space="preserve">. Pensar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adopt</w:t>
      </w:r>
      <w:proofErr w:type="spellEnd"/>
      <w:r>
        <w:t xml:space="preserve"> a 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vocabulary</w:t>
      </w:r>
      <w:proofErr w:type="spellEnd"/>
      <w:r>
        <w:t xml:space="preserve"> (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descriptors</w:t>
      </w:r>
      <w:proofErr w:type="spellEnd"/>
      <w:r>
        <w:t xml:space="preserve">): </w:t>
      </w:r>
      <w:proofErr w:type="spellStart"/>
      <w:r>
        <w:t>keywords</w:t>
      </w:r>
      <w:proofErr w:type="spellEnd"/>
      <w:r>
        <w:t xml:space="preserve"> are </w:t>
      </w:r>
      <w:proofErr w:type="spellStart"/>
      <w:r>
        <w:t>freely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must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terminology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legal </w:t>
      </w:r>
      <w:proofErr w:type="spellStart"/>
      <w:r>
        <w:t>field</w:t>
      </w:r>
      <w:proofErr w:type="spellEnd"/>
      <w:r>
        <w:t xml:space="preserve"> (ABNT NBR 6028:2021).</w:t>
      </w:r>
    </w:p>
    <w:p w14:paraId="7FF9C648" w14:textId="77777777" w:rsidR="00C260B9" w:rsidRDefault="00000000">
      <w:pPr>
        <w:pStyle w:val="PensarTtulo1"/>
      </w:pPr>
      <w:proofErr w:type="spellStart"/>
      <w:r>
        <w:t>Resumen</w:t>
      </w:r>
      <w:proofErr w:type="spellEnd"/>
      <w:r>
        <w:t xml:space="preserve"> y </w:t>
      </w:r>
      <w:proofErr w:type="spellStart"/>
      <w:r>
        <w:t>palabras</w:t>
      </w:r>
      <w:proofErr w:type="spellEnd"/>
      <w:r>
        <w:t xml:space="preserve"> clave</w:t>
      </w:r>
    </w:p>
    <w:p w14:paraId="2C38A1F5" w14:textId="77777777" w:rsidR="00C260B9" w:rsidRDefault="00000000">
      <w:pPr>
        <w:pStyle w:val="PensarResumo"/>
      </w:pPr>
      <w:r>
        <w:t xml:space="preserve">Cada </w:t>
      </w:r>
      <w:proofErr w:type="spellStart"/>
      <w:r>
        <w:t>resumen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contener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máximo de 250 </w:t>
      </w:r>
      <w:proofErr w:type="spellStart"/>
      <w:r>
        <w:t>palabras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único </w:t>
      </w:r>
      <w:proofErr w:type="spellStart"/>
      <w:r>
        <w:t>párrafo</w:t>
      </w:r>
      <w:proofErr w:type="spellEnd"/>
      <w:r>
        <w:t xml:space="preserve">, evitando </w:t>
      </w:r>
      <w:proofErr w:type="spellStart"/>
      <w:r>
        <w:t>las</w:t>
      </w:r>
      <w:proofErr w:type="spellEnd"/>
      <w:r>
        <w:t xml:space="preserve"> abreviaturas. El </w:t>
      </w:r>
      <w:proofErr w:type="spellStart"/>
      <w:r>
        <w:t>resumen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palabras</w:t>
      </w:r>
      <w:proofErr w:type="spellEnd"/>
      <w:r>
        <w:t xml:space="preserve"> clave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presentarse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portugués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español</w:t>
      </w:r>
      <w:proofErr w:type="spellEnd"/>
      <w:r>
        <w:t xml:space="preserve"> (y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lengua</w:t>
      </w:r>
      <w:proofErr w:type="spellEnd"/>
      <w:r>
        <w:t xml:space="preserve"> original,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texto </w:t>
      </w:r>
      <w:proofErr w:type="spellStart"/>
      <w:r>
        <w:t>esté</w:t>
      </w:r>
      <w:proofErr w:type="spellEnd"/>
      <w:r>
        <w:t xml:space="preserve"> </w:t>
      </w:r>
      <w:proofErr w:type="spellStart"/>
      <w:r>
        <w:t>redactado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otro</w:t>
      </w:r>
      <w:proofErr w:type="spellEnd"/>
      <w:r>
        <w:t xml:space="preserve"> idioma). Al final de cada </w:t>
      </w:r>
      <w:proofErr w:type="spellStart"/>
      <w:r>
        <w:t>resumen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constar de 3 a 6 </w:t>
      </w:r>
      <w:proofErr w:type="spellStart"/>
      <w:r>
        <w:t>palabras</w:t>
      </w:r>
      <w:proofErr w:type="spellEnd"/>
      <w:r>
        <w:t xml:space="preserve"> clave, precedidas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expresión</w:t>
      </w:r>
      <w:proofErr w:type="spellEnd"/>
      <w:r>
        <w:t xml:space="preserve"> “</w:t>
      </w:r>
      <w:proofErr w:type="spellStart"/>
      <w:r>
        <w:t>Palabras</w:t>
      </w:r>
      <w:proofErr w:type="spellEnd"/>
      <w:r>
        <w:t xml:space="preserve"> clave:”, separadas por </w:t>
      </w:r>
      <w:proofErr w:type="spellStart"/>
      <w:r>
        <w:t>punto</w:t>
      </w:r>
      <w:proofErr w:type="spellEnd"/>
      <w:r>
        <w:t xml:space="preserve"> y coma, finalizadas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punto</w:t>
      </w:r>
      <w:proofErr w:type="spellEnd"/>
      <w:r>
        <w:t xml:space="preserve"> y escritas </w:t>
      </w:r>
      <w:proofErr w:type="spellStart"/>
      <w:r>
        <w:t>en</w:t>
      </w:r>
      <w:proofErr w:type="spellEnd"/>
      <w:r>
        <w:t xml:space="preserve"> minúsculas, salvo </w:t>
      </w:r>
      <w:proofErr w:type="spellStart"/>
      <w:r>
        <w:t>nombres</w:t>
      </w:r>
      <w:proofErr w:type="spellEnd"/>
      <w:r>
        <w:t xml:space="preserve"> </w:t>
      </w:r>
      <w:proofErr w:type="spellStart"/>
      <w:r>
        <w:t>propios</w:t>
      </w:r>
      <w:proofErr w:type="spellEnd"/>
      <w:r>
        <w:t xml:space="preserve"> y siglas. Pensar no adopta </w:t>
      </w:r>
      <w:proofErr w:type="spellStart"/>
      <w:r>
        <w:t>vocabulario</w:t>
      </w:r>
      <w:proofErr w:type="spellEnd"/>
      <w:r>
        <w:t xml:space="preserve"> controlado (</w:t>
      </w:r>
      <w:proofErr w:type="spellStart"/>
      <w:r>
        <w:t>descriptores</w:t>
      </w:r>
      <w:proofErr w:type="spellEnd"/>
      <w:r>
        <w:t xml:space="preserve">):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palabras</w:t>
      </w:r>
      <w:proofErr w:type="spellEnd"/>
      <w:r>
        <w:t xml:space="preserve"> clave </w:t>
      </w:r>
      <w:proofErr w:type="spellStart"/>
      <w:r>
        <w:t>son</w:t>
      </w:r>
      <w:proofErr w:type="spellEnd"/>
      <w:r>
        <w:t xml:space="preserve"> de libre </w:t>
      </w:r>
      <w:proofErr w:type="spellStart"/>
      <w:r>
        <w:t>elección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autores y </w:t>
      </w:r>
      <w:proofErr w:type="spellStart"/>
      <w:r>
        <w:t>deben</w:t>
      </w:r>
      <w:proofErr w:type="spellEnd"/>
      <w:r>
        <w:t xml:space="preserve"> representar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artículo, observando </w:t>
      </w:r>
      <w:proofErr w:type="spellStart"/>
      <w:r>
        <w:t>la</w:t>
      </w:r>
      <w:proofErr w:type="spellEnd"/>
      <w:r>
        <w:t xml:space="preserve"> </w:t>
      </w:r>
      <w:proofErr w:type="spellStart"/>
      <w:r>
        <w:t>terminología</w:t>
      </w:r>
      <w:proofErr w:type="spellEnd"/>
      <w:r>
        <w:t xml:space="preserve"> consagrada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área jurídica (ABNT NBR 6028:2021).</w:t>
      </w:r>
    </w:p>
    <w:p w14:paraId="13A9F9C4" w14:textId="77777777" w:rsidR="00C260B9" w:rsidRDefault="00000000">
      <w:pPr>
        <w:pStyle w:val="PensarResumo"/>
      </w:pPr>
      <w:r>
        <w:rPr>
          <w:b/>
          <w:bCs/>
        </w:rPr>
        <w:t>Exemplo: Palavras-chave:</w:t>
      </w:r>
      <w:r>
        <w:t xml:space="preserve"> acesso à justiça; Defensoria Pública; direitos fundamentais; vulnerabilidade social.</w:t>
      </w:r>
    </w:p>
    <w:p w14:paraId="7ADF8BCC" w14:textId="77777777" w:rsidR="00C260B9" w:rsidRDefault="00000000">
      <w:pPr>
        <w:pStyle w:val="PensarResumo"/>
      </w:pPr>
      <w:proofErr w:type="spellStart"/>
      <w:r>
        <w:rPr>
          <w:b/>
          <w:bCs/>
        </w:rPr>
        <w:t>Example</w:t>
      </w:r>
      <w:proofErr w:type="spellEnd"/>
      <w:r>
        <w:rPr>
          <w:b/>
          <w:bCs/>
        </w:rPr>
        <w:t>: Keywords:</w:t>
      </w:r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justice;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Defender’s</w:t>
      </w:r>
      <w:proofErr w:type="spellEnd"/>
      <w:r>
        <w:t xml:space="preserve"> Office; fundamental </w:t>
      </w:r>
      <w:proofErr w:type="spellStart"/>
      <w:r>
        <w:t>rights</w:t>
      </w:r>
      <w:proofErr w:type="spellEnd"/>
      <w:r>
        <w:t xml:space="preserve">; social </w:t>
      </w:r>
      <w:proofErr w:type="spellStart"/>
      <w:r>
        <w:t>vulnerability</w:t>
      </w:r>
      <w:proofErr w:type="spellEnd"/>
      <w:r>
        <w:t>.</w:t>
      </w:r>
    </w:p>
    <w:p w14:paraId="6D0308C4" w14:textId="77777777" w:rsidR="00C260B9" w:rsidRDefault="00000000">
      <w:pPr>
        <w:pStyle w:val="PensarResumo"/>
      </w:pPr>
      <w:proofErr w:type="spellStart"/>
      <w:r>
        <w:rPr>
          <w:b/>
          <w:bCs/>
        </w:rPr>
        <w:t>Ejemplo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Palabras</w:t>
      </w:r>
      <w:proofErr w:type="spellEnd"/>
      <w:r>
        <w:rPr>
          <w:b/>
          <w:bCs/>
        </w:rPr>
        <w:t xml:space="preserve"> clave:</w:t>
      </w:r>
      <w:r>
        <w:t xml:space="preserve"> </w:t>
      </w:r>
      <w:proofErr w:type="spellStart"/>
      <w:r>
        <w:t>acceso</w:t>
      </w:r>
      <w:proofErr w:type="spellEnd"/>
      <w:r>
        <w:t xml:space="preserve"> a </w:t>
      </w:r>
      <w:proofErr w:type="spellStart"/>
      <w:r>
        <w:t>la</w:t>
      </w:r>
      <w:proofErr w:type="spellEnd"/>
      <w:r>
        <w:t xml:space="preserve"> </w:t>
      </w:r>
      <w:proofErr w:type="spellStart"/>
      <w:r>
        <w:t>justicia</w:t>
      </w:r>
      <w:proofErr w:type="spellEnd"/>
      <w:r>
        <w:t xml:space="preserve">; </w:t>
      </w:r>
      <w:proofErr w:type="spellStart"/>
      <w:r>
        <w:t>Defensoría</w:t>
      </w:r>
      <w:proofErr w:type="spellEnd"/>
      <w:r>
        <w:t xml:space="preserve"> Pública; </w:t>
      </w:r>
      <w:proofErr w:type="spellStart"/>
      <w:r>
        <w:t>derechos</w:t>
      </w:r>
      <w:proofErr w:type="spellEnd"/>
      <w:r>
        <w:t xml:space="preserve"> </w:t>
      </w:r>
      <w:proofErr w:type="spellStart"/>
      <w:r>
        <w:t>fundamentales</w:t>
      </w:r>
      <w:proofErr w:type="spellEnd"/>
      <w:r>
        <w:t xml:space="preserve">; </w:t>
      </w:r>
      <w:proofErr w:type="spellStart"/>
      <w:r>
        <w:t>vulnerabilidad</w:t>
      </w:r>
      <w:proofErr w:type="spellEnd"/>
      <w:r>
        <w:t xml:space="preserve"> social.</w:t>
      </w:r>
    </w:p>
    <w:p w14:paraId="28744A8E" w14:textId="77777777" w:rsidR="00C260B9" w:rsidRDefault="00000000">
      <w:pPr>
        <w:pStyle w:val="PensarInstruoapagar"/>
      </w:pPr>
      <w:r>
        <w:t>* [Minibiografia do autor 1: cargo e instituição, cidade, estado e país; titulações da mais alta para a mais baixa; associações científicas e atuação profissional.]</w:t>
      </w:r>
    </w:p>
    <w:p w14:paraId="105CED19" w14:textId="77777777" w:rsidR="00C260B9" w:rsidRDefault="00000000">
      <w:pPr>
        <w:pStyle w:val="PensarInstruoapagar"/>
      </w:pPr>
      <w:r>
        <w:t xml:space="preserve">** [Minibiografia do autor 2: cargo e instituição, cidade, estado e país; titulações da mais alta para a mais baixa; associações </w:t>
      </w:r>
      <w:r>
        <w:lastRenderedPageBreak/>
        <w:t>científicas e atuação profissional.]</w:t>
      </w:r>
    </w:p>
    <w:p w14:paraId="2BBF730A" w14:textId="4FB84442" w:rsidR="00C260B9" w:rsidRDefault="00A859F6">
      <w:pPr>
        <w:pStyle w:val="PensarInstruoapagar"/>
      </w:pPr>
      <w:r>
        <w:t>B</w:t>
      </w:r>
      <w:r w:rsidR="00000000">
        <w:t xml:space="preserve">loco de instruções — apague-o antes de submeter. Estilos: Pensar Título 1 e 2 (seções), Pensar Corpo (texto), Pensar Citação Longa (mais de 3 linhas), Pensar Legenda e Pensar Fonte (ilustrações), Pensar Referência.  ·  </w:t>
      </w:r>
      <w:proofErr w:type="spellStart"/>
      <w:r w:rsidR="00000000">
        <w:t>Instructions</w:t>
      </w:r>
      <w:proofErr w:type="spellEnd"/>
      <w:r w:rsidR="00000000">
        <w:t xml:space="preserve"> </w:t>
      </w:r>
      <w:proofErr w:type="spellStart"/>
      <w:r w:rsidR="00000000">
        <w:t>block</w:t>
      </w:r>
      <w:proofErr w:type="spellEnd"/>
      <w:r w:rsidR="00000000">
        <w:t xml:space="preserve"> — delete it </w:t>
      </w:r>
      <w:proofErr w:type="spellStart"/>
      <w:r w:rsidR="00000000">
        <w:t>before</w:t>
      </w:r>
      <w:proofErr w:type="spellEnd"/>
      <w:r w:rsidR="00000000">
        <w:t xml:space="preserve"> </w:t>
      </w:r>
      <w:proofErr w:type="spellStart"/>
      <w:r w:rsidR="00000000">
        <w:t>submitting</w:t>
      </w:r>
      <w:proofErr w:type="spellEnd"/>
      <w:r w:rsidR="00000000">
        <w:t xml:space="preserve">. </w:t>
      </w:r>
      <w:proofErr w:type="spellStart"/>
      <w:r w:rsidR="00000000">
        <w:t>Styles</w:t>
      </w:r>
      <w:proofErr w:type="spellEnd"/>
      <w:r w:rsidR="00000000">
        <w:t xml:space="preserve">: Pensar Título 1 </w:t>
      </w:r>
      <w:proofErr w:type="spellStart"/>
      <w:r w:rsidR="00000000">
        <w:t>and</w:t>
      </w:r>
      <w:proofErr w:type="spellEnd"/>
      <w:r w:rsidR="00000000">
        <w:t xml:space="preserve"> 2 (</w:t>
      </w:r>
      <w:proofErr w:type="spellStart"/>
      <w:r w:rsidR="00000000">
        <w:t>sections</w:t>
      </w:r>
      <w:proofErr w:type="spellEnd"/>
      <w:r w:rsidR="00000000">
        <w:t xml:space="preserve">), Pensar Corpo (body </w:t>
      </w:r>
      <w:proofErr w:type="spellStart"/>
      <w:r w:rsidR="00000000">
        <w:t>text</w:t>
      </w:r>
      <w:proofErr w:type="spellEnd"/>
      <w:r w:rsidR="00000000">
        <w:t xml:space="preserve">), Pensar Citação Longa (over 3 </w:t>
      </w:r>
      <w:proofErr w:type="spellStart"/>
      <w:r w:rsidR="00000000">
        <w:t>lines</w:t>
      </w:r>
      <w:proofErr w:type="spellEnd"/>
      <w:r w:rsidR="00000000">
        <w:t xml:space="preserve">), Pensar Legenda </w:t>
      </w:r>
      <w:proofErr w:type="spellStart"/>
      <w:r w:rsidR="00000000">
        <w:t>and</w:t>
      </w:r>
      <w:proofErr w:type="spellEnd"/>
      <w:r w:rsidR="00000000">
        <w:t xml:space="preserve"> Pensar Fonte (</w:t>
      </w:r>
      <w:proofErr w:type="spellStart"/>
      <w:r w:rsidR="00000000">
        <w:t>illustrations</w:t>
      </w:r>
      <w:proofErr w:type="spellEnd"/>
      <w:r w:rsidR="00000000">
        <w:t>), Pensar Referência.</w:t>
      </w:r>
    </w:p>
    <w:p w14:paraId="6AAD184D" w14:textId="77777777" w:rsidR="00C260B9" w:rsidRDefault="00000000">
      <w:pPr>
        <w:pStyle w:val="PensarInstruoapagar"/>
      </w:pPr>
      <w:r>
        <w:t xml:space="preserve">A paginação aparece a partir da segunda página. Nas páginas ímpares consta o título do artigo; </w:t>
      </w:r>
      <w:proofErr w:type="gramStart"/>
      <w:r>
        <w:t>nas pares</w:t>
      </w:r>
      <w:proofErr w:type="gramEnd"/>
      <w:r>
        <w:t xml:space="preserve">, os nomes dos autores. Na Avaliação Cega Tradicional, deixe vazio o cabeçalho das páginas pares: os nomes serão inseridos pela editoria após o aceite.  ·  Page </w:t>
      </w:r>
      <w:proofErr w:type="spellStart"/>
      <w:r>
        <w:t>numbers</w:t>
      </w:r>
      <w:proofErr w:type="spellEnd"/>
      <w:r>
        <w:t xml:space="preserve"> start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. Odd </w:t>
      </w:r>
      <w:proofErr w:type="spellStart"/>
      <w:r>
        <w:t>pages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;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pages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’ </w:t>
      </w:r>
      <w:proofErr w:type="spellStart"/>
      <w:r>
        <w:t>names</w:t>
      </w:r>
      <w:proofErr w:type="spellEnd"/>
      <w:r>
        <w:t xml:space="preserve">. </w:t>
      </w:r>
      <w:proofErr w:type="spellStart"/>
      <w:r>
        <w:t>Under</w:t>
      </w:r>
      <w:proofErr w:type="spellEnd"/>
      <w:r>
        <w:t xml:space="preserve"> Double Blind </w:t>
      </w:r>
      <w:proofErr w:type="spellStart"/>
      <w:r>
        <w:t>Peer</w:t>
      </w:r>
      <w:proofErr w:type="spellEnd"/>
      <w:r>
        <w:t xml:space="preserve"> Review,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even-page</w:t>
      </w:r>
      <w:proofErr w:type="spellEnd"/>
      <w:r>
        <w:t xml:space="preserve"> header </w:t>
      </w:r>
      <w:proofErr w:type="spellStart"/>
      <w:r>
        <w:t>empty</w:t>
      </w:r>
      <w:proofErr w:type="spellEnd"/>
      <w:r>
        <w:t xml:space="preserve">: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inserted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editorial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acceptance</w:t>
      </w:r>
      <w:proofErr w:type="spellEnd"/>
      <w:r>
        <w:t>.</w:t>
      </w:r>
    </w:p>
    <w:p w14:paraId="0D8A41BB" w14:textId="77777777" w:rsidR="00C260B9" w:rsidRDefault="00000000">
      <w:pPr>
        <w:pStyle w:val="PensarTtulo1"/>
      </w:pPr>
      <w:r>
        <w:t>1 [Título de seção]</w:t>
      </w:r>
    </w:p>
    <w:p w14:paraId="0C084ACD" w14:textId="77777777" w:rsidR="00C260B9" w:rsidRDefault="00000000">
      <w:pPr>
        <w:pStyle w:val="PensarCorpo"/>
      </w:pPr>
      <w:r>
        <w:t>[Texto. O artigo deve conter introdução, desenvolvimento e conclusão, ainda que sob outras denominações. Não finalize seções ou subseções com citações, figuras, gráficos, quadros ou tabelas.]</w:t>
      </w:r>
    </w:p>
    <w:p w14:paraId="352A3FDD" w14:textId="77777777" w:rsidR="00C260B9" w:rsidRDefault="00000000">
      <w:pPr>
        <w:pStyle w:val="PensarTtulo1"/>
      </w:pPr>
      <w:r>
        <w:t>Declaração de uso de Inteligência Artificial</w:t>
      </w:r>
    </w:p>
    <w:p w14:paraId="30E0CD44" w14:textId="77777777" w:rsidR="00C260B9" w:rsidRDefault="00000000">
      <w:pPr>
        <w:pStyle w:val="PensarInstruoapagar"/>
      </w:pPr>
      <w:r>
        <w:t xml:space="preserve">Obrigatória desde 2026, quando aplicável. Mantenha na introdução; apague este bloco se não houver uso a declarar.  ·  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2026,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</w:t>
      </w:r>
      <w:proofErr w:type="spellStart"/>
      <w:r>
        <w:t>Keep</w:t>
      </w:r>
      <w:proofErr w:type="spellEnd"/>
      <w:r>
        <w:t xml:space="preserve"> it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; delete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use </w:t>
      </w:r>
      <w:proofErr w:type="spellStart"/>
      <w:r>
        <w:t>to</w:t>
      </w:r>
      <w:proofErr w:type="spellEnd"/>
      <w:r>
        <w:t xml:space="preserve"> declare.</w:t>
      </w:r>
    </w:p>
    <w:p w14:paraId="3B2F6439" w14:textId="77777777" w:rsidR="00C260B9" w:rsidRDefault="00000000">
      <w:pPr>
        <w:pStyle w:val="PensarCorpo"/>
      </w:pPr>
      <w:r>
        <w:rPr>
          <w:i/>
          <w:iCs/>
          <w:color w:val="808080"/>
        </w:rPr>
        <w:t>[Os autores declaram que utilizaram [ferramenta e versão] para [finalidade: revisão linguística, tradução, apoio à revisão bibliográfica etc.], em [data ou período]. O conteúdo gerado foi integralmente revisado pelos autores, que assumem responsabilidade pela integridade do texto publicado. Nenhuma ferramenta de Inteligência Artificial figura como autora do manuscrito.]</w:t>
      </w:r>
    </w:p>
    <w:p w14:paraId="2424B33A" w14:textId="77777777" w:rsidR="00C260B9" w:rsidRDefault="00000000">
      <w:pPr>
        <w:pStyle w:val="PensarTtulo1"/>
      </w:pPr>
      <w:r>
        <w:t>2 [Título de seção]</w:t>
      </w:r>
    </w:p>
    <w:p w14:paraId="2EFC8DB7" w14:textId="77777777" w:rsidR="00C260B9" w:rsidRDefault="00000000">
      <w:pPr>
        <w:pStyle w:val="PensarCorpo"/>
      </w:pPr>
      <w:r>
        <w:t>[Texto.]</w:t>
      </w:r>
    </w:p>
    <w:p w14:paraId="29D5708F" w14:textId="77777777" w:rsidR="00C260B9" w:rsidRDefault="00000000">
      <w:pPr>
        <w:pStyle w:val="PensarTtulo2"/>
      </w:pPr>
      <w:r>
        <w:t>2.1 [Título de subseção]</w:t>
      </w:r>
    </w:p>
    <w:p w14:paraId="7C4BF7EF" w14:textId="77777777" w:rsidR="00C260B9" w:rsidRDefault="00000000">
      <w:pPr>
        <w:pStyle w:val="PensarCorpo"/>
      </w:pPr>
      <w:r>
        <w:t>[Texto.]</w:t>
      </w:r>
    </w:p>
    <w:p w14:paraId="097391CD" w14:textId="77777777" w:rsidR="00C260B9" w:rsidRDefault="00000000">
      <w:pPr>
        <w:pStyle w:val="PensarTtulo2"/>
      </w:pPr>
      <w:r>
        <w:t>2.2 [Título de subseção]</w:t>
      </w:r>
    </w:p>
    <w:p w14:paraId="31AD1042" w14:textId="77777777" w:rsidR="00C260B9" w:rsidRDefault="00000000">
      <w:pPr>
        <w:pStyle w:val="PensarInstruoapagar"/>
      </w:pPr>
      <w:r>
        <w:t xml:space="preserve">Figuras, quadros, gráficos e tabelas: centralizados, com legenda acima e fonte abaixo, numerados por tipo e citados no texto em ordem numérica. Descreva cada imagem no Texto Alternativo do Word (clique com o botão direito → Editar Texto Alt.): é o que garante acessibilidade a leitores de tela.  ·  Figures, </w:t>
      </w:r>
      <w:proofErr w:type="spellStart"/>
      <w:r>
        <w:t>charts</w:t>
      </w:r>
      <w:proofErr w:type="spellEnd"/>
      <w:r>
        <w:t xml:space="preserve">, </w:t>
      </w:r>
      <w:proofErr w:type="spellStart"/>
      <w:r>
        <w:t>graphs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tables</w:t>
      </w:r>
      <w:proofErr w:type="spellEnd"/>
      <w:r>
        <w:t xml:space="preserve">: </w:t>
      </w:r>
      <w:proofErr w:type="spellStart"/>
      <w:r>
        <w:t>centred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caption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, </w:t>
      </w:r>
      <w:proofErr w:type="spellStart"/>
      <w:r>
        <w:t>numbered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in </w:t>
      </w:r>
      <w:proofErr w:type="spellStart"/>
      <w:r>
        <w:t>numerical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.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in </w:t>
      </w:r>
      <w:proofErr w:type="spellStart"/>
      <w:r>
        <w:t>Word’s</w:t>
      </w:r>
      <w:proofErr w:type="spellEnd"/>
      <w:r>
        <w:t xml:space="preserve"> Alt </w:t>
      </w:r>
      <w:proofErr w:type="spellStart"/>
      <w:r>
        <w:t>Text</w:t>
      </w:r>
      <w:proofErr w:type="spellEnd"/>
      <w:r>
        <w:t xml:space="preserve"> (</w:t>
      </w:r>
      <w:proofErr w:type="spellStart"/>
      <w:r>
        <w:t>right</w:t>
      </w:r>
      <w:proofErr w:type="spellEnd"/>
      <w:r>
        <w:t xml:space="preserve">-click → </w:t>
      </w:r>
      <w:proofErr w:type="spellStart"/>
      <w:r>
        <w:t>Edit</w:t>
      </w:r>
      <w:proofErr w:type="spellEnd"/>
      <w:r>
        <w:t xml:space="preserve"> Alt </w:t>
      </w:r>
      <w:proofErr w:type="spellStart"/>
      <w:r>
        <w:t>Text</w:t>
      </w:r>
      <w:proofErr w:type="spellEnd"/>
      <w:r>
        <w:t xml:space="preserve">):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makes it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screen</w:t>
      </w:r>
      <w:proofErr w:type="spellEnd"/>
      <w:r>
        <w:t xml:space="preserve"> </w:t>
      </w:r>
      <w:proofErr w:type="spellStart"/>
      <w:r>
        <w:t>readers</w:t>
      </w:r>
      <w:proofErr w:type="spellEnd"/>
      <w:r>
        <w:t>.</w:t>
      </w:r>
    </w:p>
    <w:p w14:paraId="575582F3" w14:textId="77777777" w:rsidR="00C260B9" w:rsidRDefault="00000000">
      <w:pPr>
        <w:pStyle w:val="PensarLegenda"/>
      </w:pPr>
      <w:r>
        <w:rPr>
          <w:b/>
          <w:bCs/>
        </w:rPr>
        <w:t xml:space="preserve">Figura 1 – </w:t>
      </w:r>
      <w:r>
        <w:t>[Nome da figura]</w:t>
      </w:r>
    </w:p>
    <w:p w14:paraId="068D8F5B" w14:textId="77777777" w:rsidR="00C260B9" w:rsidRDefault="00000000">
      <w:pPr>
        <w:pStyle w:val="PensarFontedaIlustrao"/>
      </w:pPr>
      <w:r>
        <w:rPr>
          <w:noProof/>
        </w:rPr>
        <w:drawing>
          <wp:inline distT="0" distB="0" distL="0" distR="0" wp14:anchorId="26A143C1" wp14:editId="13B10581">
            <wp:extent cx="2317750" cy="1804670"/>
            <wp:effectExtent l="0" t="0" r="0" b="0"/>
            <wp:docPr id="5" name="image4.png" descr="Fluxograma do processo editorial da Pensar, em cinco etapas sucessivas: submissao, triagem editorial (desk review), avaliacao por pares, decisao editorial e publicaca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Fluxograma do processo editorial da Pensar, em cinco etapas sucessivas: submissao, triagem editorial (desk review), avaliacao por pares, decisao editorial e publicacao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138D2" w14:textId="77777777" w:rsidR="00C260B9" w:rsidRDefault="00000000">
      <w:pPr>
        <w:pStyle w:val="PensarFontedaIlustrao"/>
      </w:pPr>
      <w:r>
        <w:rPr>
          <w:b/>
          <w:bCs/>
        </w:rPr>
        <w:t xml:space="preserve">Fonte: </w:t>
      </w:r>
      <w:r>
        <w:t>[Autor (ano)]</w:t>
      </w:r>
    </w:p>
    <w:p w14:paraId="32ADDB48" w14:textId="77777777" w:rsidR="00C260B9" w:rsidRDefault="00000000">
      <w:pPr>
        <w:pStyle w:val="PensarLegenda"/>
      </w:pPr>
      <w:r>
        <w:rPr>
          <w:b/>
          <w:bCs/>
        </w:rPr>
        <w:lastRenderedPageBreak/>
        <w:t xml:space="preserve">Gráfico 1 – </w:t>
      </w:r>
      <w:r>
        <w:t>[Nome do gráfico]</w:t>
      </w:r>
    </w:p>
    <w:p w14:paraId="52C230E5" w14:textId="77777777" w:rsidR="00C260B9" w:rsidRDefault="00000000">
      <w:pPr>
        <w:pStyle w:val="PensarFontedaIlustrao"/>
      </w:pPr>
      <w:r>
        <w:rPr>
          <w:noProof/>
        </w:rPr>
        <w:drawing>
          <wp:inline distT="0" distB="0" distL="0" distR="0" wp14:anchorId="092CD6CC" wp14:editId="1838F4AD">
            <wp:extent cx="3721100" cy="2226310"/>
            <wp:effectExtent l="0" t="0" r="0" b="0"/>
            <wp:docPr id="6" name="image3.png" descr="Grafico de barras com a quantidade de acordaos analisados por tribunal: STF 23, STJ 41, TRFs 18 e TJs 6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 descr="Grafico de barras com a quantidade de acordaos analisados por tribunal: STF 23, STJ 41, TRFs 18 e TJs 62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AB5ED" w14:textId="77777777" w:rsidR="00C260B9" w:rsidRDefault="00000000">
      <w:pPr>
        <w:pStyle w:val="PensarFontedaIlustrao"/>
      </w:pPr>
      <w:r>
        <w:rPr>
          <w:b/>
          <w:bCs/>
        </w:rPr>
        <w:t xml:space="preserve">Fonte: </w:t>
      </w:r>
      <w:r>
        <w:t>[elaboração própria]</w:t>
      </w:r>
    </w:p>
    <w:p w14:paraId="27824527" w14:textId="77777777" w:rsidR="00C260B9" w:rsidRDefault="00000000">
      <w:pPr>
        <w:pStyle w:val="PensarTtulo1"/>
      </w:pPr>
      <w:r>
        <w:t>3 [Título de seção]</w:t>
      </w:r>
    </w:p>
    <w:p w14:paraId="4BA3ACFA" w14:textId="77777777" w:rsidR="00C260B9" w:rsidRDefault="00000000">
      <w:pPr>
        <w:pStyle w:val="PensarCorpo"/>
      </w:pPr>
      <w:r>
        <w:t>Citações diretas de até três linhas ficam no corpo do texto, no sistema autor-data (ABNT NBR 10520:2023): (Autor, ano, p. XX) ou Segundo Autor (ano, p. XX).</w:t>
      </w:r>
    </w:p>
    <w:p w14:paraId="612FDB6B" w14:textId="77777777" w:rsidR="00C260B9" w:rsidRDefault="00000000">
      <w:pPr>
        <w:pStyle w:val="PensarCitaoLonga"/>
      </w:pPr>
      <w:r>
        <w:t>Citações diretas acima de três linhas são separadas do parágrafo, recuadas 4 cm da margem esquerda, sem aspas. Na ausência de página, usar [s. p.]. Aplique o estilo Pensar Citação Longa. (Autor, ano, p. XX).</w:t>
      </w:r>
    </w:p>
    <w:p w14:paraId="04018798" w14:textId="77777777" w:rsidR="00C260B9" w:rsidRDefault="00000000">
      <w:pPr>
        <w:pStyle w:val="PensarTtulo1"/>
      </w:pPr>
      <w:r>
        <w:t>Referências</w:t>
      </w:r>
    </w:p>
    <w:p w14:paraId="49BB7F07" w14:textId="77777777" w:rsidR="00C260B9" w:rsidRDefault="00000000">
      <w:pPr>
        <w:pStyle w:val="PensarInstruoapagar"/>
      </w:pPr>
      <w:r>
        <w:t xml:space="preserve">ABNT NBR 6023:2018. Alinhamento à esquerda, espaçamento simples, 6 </w:t>
      </w:r>
      <w:proofErr w:type="spellStart"/>
      <w:r>
        <w:t>pt</w:t>
      </w:r>
      <w:proofErr w:type="spellEnd"/>
      <w:r>
        <w:t xml:space="preserve"> entre cada referência. Aplique o estilo Pensar Referência. Modelos abaixo — apague os que não usar.  ·  ABNT NBR 6023:2018. </w:t>
      </w:r>
      <w:proofErr w:type="spellStart"/>
      <w:r>
        <w:t>Left-aligned</w:t>
      </w:r>
      <w:proofErr w:type="spellEnd"/>
      <w:r>
        <w:t xml:space="preserve">, single </w:t>
      </w:r>
      <w:proofErr w:type="spellStart"/>
      <w:r>
        <w:t>spacing</w:t>
      </w:r>
      <w:proofErr w:type="spellEnd"/>
      <w:r>
        <w:t xml:space="preserve">, 6 </w:t>
      </w:r>
      <w:proofErr w:type="spellStart"/>
      <w:r>
        <w:t>pt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entries</w:t>
      </w:r>
      <w:proofErr w:type="spellEnd"/>
      <w:r>
        <w:t xml:space="preserve">.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Pensar Referência </w:t>
      </w:r>
      <w:proofErr w:type="spellStart"/>
      <w:r>
        <w:t>style</w:t>
      </w:r>
      <w:proofErr w:type="spellEnd"/>
      <w:r>
        <w:t xml:space="preserve">. Models </w:t>
      </w:r>
      <w:proofErr w:type="spellStart"/>
      <w:r>
        <w:t>below</w:t>
      </w:r>
      <w:proofErr w:type="spellEnd"/>
      <w:r>
        <w:t xml:space="preserve"> — delete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use.</w:t>
      </w:r>
    </w:p>
    <w:p w14:paraId="3904FAD9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Artigo de periódico científico</w:t>
      </w:r>
    </w:p>
    <w:p w14:paraId="0F181F5E" w14:textId="77777777" w:rsidR="00C260B9" w:rsidRDefault="00000000">
      <w:pPr>
        <w:pStyle w:val="PensarReferncia"/>
      </w:pPr>
      <w:r>
        <w:rPr>
          <w:color w:val="000000"/>
        </w:rPr>
        <w:t xml:space="preserve">SOBRENOME, N. N. Título do artigo. </w:t>
      </w:r>
      <w:r>
        <w:rPr>
          <w:b/>
          <w:bCs/>
          <w:color w:val="000000"/>
        </w:rPr>
        <w:t>Pensar – Revista de Ciências Jurídicas</w:t>
      </w:r>
      <w:r>
        <w:rPr>
          <w:color w:val="000000"/>
        </w:rPr>
        <w:t>, Fortaleza, v. 31, e15797, 2026. DOI: 10.5020/2317-2150.2026.15797. Disponível em: https://ojs.unifor.br/rpen. Acesso em: 17 jul. 2026.</w:t>
      </w:r>
    </w:p>
    <w:p w14:paraId="2B780608" w14:textId="306918A1" w:rsidR="00C260B9" w:rsidRDefault="00000000">
      <w:pPr>
        <w:pStyle w:val="PensarReferncia"/>
      </w:pPr>
      <w:r>
        <w:rPr>
          <w:color w:val="000000"/>
        </w:rPr>
        <w:t xml:space="preserve">SARLET, I. W. A eficácia dos direitos fundamentais e a chamada constitucionalização do direito privado. </w:t>
      </w:r>
      <w:r>
        <w:rPr>
          <w:b/>
          <w:bCs/>
          <w:color w:val="000000"/>
        </w:rPr>
        <w:t>Revista de Direito do Consumidor</w:t>
      </w:r>
      <w:r>
        <w:rPr>
          <w:color w:val="000000"/>
        </w:rPr>
        <w:t>, São Paulo, v. 15, n. 60, p. 100-134, 20</w:t>
      </w:r>
      <w:r w:rsidR="007C25BB">
        <w:rPr>
          <w:color w:val="000000"/>
        </w:rPr>
        <w:t>2</w:t>
      </w:r>
      <w:r>
        <w:rPr>
          <w:color w:val="000000"/>
        </w:rPr>
        <w:t>6.</w:t>
      </w:r>
    </w:p>
    <w:p w14:paraId="368C332E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Artigo e/ou matéria de jornal (assinados ou não, em papel ou eletrônicos)</w:t>
      </w:r>
    </w:p>
    <w:p w14:paraId="3B94301F" w14:textId="77777777" w:rsidR="00C260B9" w:rsidRDefault="00000000">
      <w:pPr>
        <w:pStyle w:val="PensarReferncia"/>
      </w:pPr>
      <w:r>
        <w:rPr>
          <w:color w:val="000000"/>
        </w:rPr>
        <w:t xml:space="preserve">MARCO temporal: STF conclui julgamento e fixa tese. </w:t>
      </w:r>
      <w:r>
        <w:rPr>
          <w:b/>
          <w:bCs/>
          <w:color w:val="000000"/>
        </w:rPr>
        <w:t>Consultor Jurídico</w:t>
      </w:r>
      <w:r>
        <w:rPr>
          <w:color w:val="000000"/>
        </w:rPr>
        <w:t>, São Paulo, 21 set. 2023. Disponível em: https://www.conjur.com.br. Acesso em: 17 jul. 2026.</w:t>
      </w:r>
    </w:p>
    <w:p w14:paraId="3F06E8E2" w14:textId="77777777" w:rsidR="00C260B9" w:rsidRDefault="00000000">
      <w:pPr>
        <w:pStyle w:val="PensarReferncia"/>
      </w:pPr>
      <w:r>
        <w:rPr>
          <w:color w:val="000000"/>
        </w:rPr>
        <w:t xml:space="preserve">FALCÃO, M. Plenário decide sobre a aplicação do princípio da insignificância. </w:t>
      </w:r>
      <w:r>
        <w:rPr>
          <w:b/>
          <w:bCs/>
          <w:color w:val="000000"/>
        </w:rPr>
        <w:t>Folha de S. Paulo</w:t>
      </w:r>
      <w:r>
        <w:rPr>
          <w:color w:val="000000"/>
        </w:rPr>
        <w:t>, São Paulo, 28 jun. 2024. Caderno Poder, p. A6.</w:t>
      </w:r>
    </w:p>
    <w:p w14:paraId="0720F4DB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 xml:space="preserve">Livro, folheto, trabalho acadêmico (teses, dissertações, entre outros), manual, guia, catálogo, </w:t>
      </w:r>
      <w:r>
        <w:rPr>
          <w:color w:val="000000"/>
        </w:rPr>
        <w:lastRenderedPageBreak/>
        <w:t>enciclopédia etc.</w:t>
      </w:r>
    </w:p>
    <w:p w14:paraId="165E255E" w14:textId="77777777" w:rsidR="00C260B9" w:rsidRDefault="00000000">
      <w:pPr>
        <w:pStyle w:val="PensarReferncia"/>
      </w:pPr>
      <w:r>
        <w:rPr>
          <w:color w:val="000000"/>
        </w:rPr>
        <w:t xml:space="preserve">BOBBIO, N. </w:t>
      </w:r>
      <w:r>
        <w:rPr>
          <w:b/>
          <w:bCs/>
          <w:color w:val="000000"/>
        </w:rPr>
        <w:t>A era dos direitos</w:t>
      </w:r>
      <w:r>
        <w:rPr>
          <w:color w:val="000000"/>
        </w:rPr>
        <w:t>. Tradução de Carlos Nelson Coutinho. Rio de Janeiro: Elsevier, 2004.</w:t>
      </w:r>
    </w:p>
    <w:p w14:paraId="34CC3648" w14:textId="77777777" w:rsidR="00C260B9" w:rsidRDefault="00000000">
      <w:pPr>
        <w:pStyle w:val="PensarReferncia"/>
      </w:pPr>
      <w:r>
        <w:rPr>
          <w:color w:val="000000"/>
        </w:rPr>
        <w:t xml:space="preserve">CANOTILHO, J. J. G. </w:t>
      </w:r>
      <w:r>
        <w:rPr>
          <w:b/>
          <w:bCs/>
          <w:color w:val="000000"/>
        </w:rPr>
        <w:t>Direito constitucional e teoria da Constituição</w:t>
      </w:r>
      <w:r>
        <w:rPr>
          <w:color w:val="000000"/>
        </w:rPr>
        <w:t>. 7. ed. Coimbra: Almedina, 2003.</w:t>
      </w:r>
    </w:p>
    <w:p w14:paraId="194B254D" w14:textId="77777777" w:rsidR="00C260B9" w:rsidRDefault="00000000">
      <w:pPr>
        <w:pStyle w:val="PensarReferncia"/>
      </w:pPr>
      <w:r>
        <w:rPr>
          <w:color w:val="000000"/>
        </w:rPr>
        <w:t xml:space="preserve">MENDES, G. F.; BRANCO, P. G. G. </w:t>
      </w:r>
      <w:r>
        <w:rPr>
          <w:b/>
          <w:bCs/>
          <w:color w:val="000000"/>
        </w:rPr>
        <w:t>Curso de direito constitucional</w:t>
      </w:r>
      <w:r>
        <w:rPr>
          <w:color w:val="000000"/>
        </w:rPr>
        <w:t>. 18. ed. São Paulo: Saraiva, 2023.</w:t>
      </w:r>
    </w:p>
    <w:p w14:paraId="72E2B6D6" w14:textId="77777777" w:rsidR="00C260B9" w:rsidRDefault="00000000">
      <w:pPr>
        <w:pStyle w:val="PensarReferncia"/>
      </w:pPr>
      <w:r>
        <w:rPr>
          <w:color w:val="000000"/>
        </w:rPr>
        <w:t xml:space="preserve">SOBRENOME, N. N. </w:t>
      </w:r>
      <w:r>
        <w:rPr>
          <w:b/>
          <w:bCs/>
          <w:color w:val="000000"/>
        </w:rPr>
        <w:t>Título da tese em direito constitucional:</w:t>
      </w:r>
      <w:r>
        <w:rPr>
          <w:color w:val="000000"/>
        </w:rPr>
        <w:t xml:space="preserve"> subtítulo. 2024. 240 f. Tese (Doutorado em Direito Constitucional) – Universidade de Fortaleza, Programa de Pós-Graduação em Direito Constitucional, Fortaleza, 2024.</w:t>
      </w:r>
    </w:p>
    <w:p w14:paraId="7E8D34F6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Capítulo de livro</w:t>
      </w:r>
    </w:p>
    <w:p w14:paraId="0A35BFED" w14:textId="77777777" w:rsidR="00C260B9" w:rsidRDefault="00000000">
      <w:pPr>
        <w:pStyle w:val="PensarReferncia"/>
      </w:pPr>
      <w:r>
        <w:rPr>
          <w:color w:val="000000"/>
        </w:rPr>
        <w:t xml:space="preserve">SOBRENOME, N. N. Título do capítulo. In: ORGANIZADOR, N. N.; ORGANIZADORA, N. N. (org.). </w:t>
      </w:r>
      <w:r>
        <w:rPr>
          <w:b/>
          <w:bCs/>
          <w:color w:val="000000"/>
        </w:rPr>
        <w:t>Título do livro:</w:t>
      </w:r>
      <w:r>
        <w:rPr>
          <w:color w:val="000000"/>
        </w:rPr>
        <w:t xml:space="preserve"> subtítulo. 2. ed. São Paulo: Editora, 2023. p. 43-64.</w:t>
      </w:r>
    </w:p>
    <w:p w14:paraId="4B1092A1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Documento jurídico – legislação (Constituição, leis, decretos, códigos etc.)</w:t>
      </w:r>
    </w:p>
    <w:p w14:paraId="55D618C8" w14:textId="77777777" w:rsidR="00C260B9" w:rsidRDefault="00000000">
      <w:pPr>
        <w:pStyle w:val="PensarReferncia"/>
      </w:pPr>
      <w:r>
        <w:rPr>
          <w:color w:val="000000"/>
        </w:rPr>
        <w:t xml:space="preserve">BRASIL. [Constituição (1988)]. </w:t>
      </w:r>
      <w:r>
        <w:rPr>
          <w:b/>
          <w:bCs/>
          <w:color w:val="000000"/>
        </w:rPr>
        <w:t>Constituição da República Federativa do Brasil de 1988</w:t>
      </w:r>
      <w:r>
        <w:rPr>
          <w:color w:val="000000"/>
        </w:rPr>
        <w:t>. Brasília, DF: Presidência da República, [2024]. Disponível em: https://www.planalto.gov.br/ccivil_03/constituicao/constituicao.htm. Acesso em: 17 jul. 2026.</w:t>
      </w:r>
    </w:p>
    <w:p w14:paraId="118198E2" w14:textId="77777777" w:rsidR="00C260B9" w:rsidRDefault="00000000">
      <w:pPr>
        <w:pStyle w:val="PensarReferncia"/>
      </w:pPr>
      <w:r>
        <w:rPr>
          <w:color w:val="000000"/>
        </w:rPr>
        <w:t xml:space="preserve">BRASIL. </w:t>
      </w:r>
      <w:r>
        <w:rPr>
          <w:b/>
          <w:bCs/>
          <w:color w:val="000000"/>
        </w:rPr>
        <w:t>Lei nº 10.406, de 10 de janeiro de 2002</w:t>
      </w:r>
      <w:r>
        <w:rPr>
          <w:color w:val="000000"/>
        </w:rPr>
        <w:t xml:space="preserve">. Institui o Código Civil. </w:t>
      </w:r>
      <w:r>
        <w:rPr>
          <w:b/>
          <w:bCs/>
          <w:color w:val="000000"/>
        </w:rPr>
        <w:t>Diário Oficial da União</w:t>
      </w:r>
      <w:r>
        <w:rPr>
          <w:color w:val="000000"/>
        </w:rPr>
        <w:t>: seção 1, Brasília, DF, ano 139, n. 8, p. 1-74, 11 jan. 2002.</w:t>
      </w:r>
    </w:p>
    <w:p w14:paraId="33D2E2FB" w14:textId="77777777" w:rsidR="00C260B9" w:rsidRDefault="00000000">
      <w:pPr>
        <w:pStyle w:val="PensarReferncia"/>
      </w:pPr>
      <w:r>
        <w:rPr>
          <w:color w:val="000000"/>
        </w:rPr>
        <w:t xml:space="preserve">BRASIL. </w:t>
      </w:r>
      <w:r>
        <w:rPr>
          <w:b/>
          <w:bCs/>
          <w:color w:val="000000"/>
        </w:rPr>
        <w:t>Lei nº 13.709, de 14 de agosto de 2018</w:t>
      </w:r>
      <w:r>
        <w:rPr>
          <w:color w:val="000000"/>
        </w:rPr>
        <w:t xml:space="preserve">. Lei Geral de Proteção de Dados Pessoais (LGPD). </w:t>
      </w:r>
      <w:r>
        <w:rPr>
          <w:b/>
          <w:bCs/>
          <w:color w:val="000000"/>
        </w:rPr>
        <w:t>Diário Oficial da União</w:t>
      </w:r>
      <w:r>
        <w:rPr>
          <w:color w:val="000000"/>
        </w:rPr>
        <w:t>: seção 1, Brasília, DF, 15 ago. 2018. Disponível em: https://www.planalto.gov.br/ccivil_03/_ato2015-2018/2018/lei/l13709.htm. Acesso em: 17 jul. 2026.</w:t>
      </w:r>
    </w:p>
    <w:p w14:paraId="3C5A7899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Documento jurídico – jurisprudência (acórdãos, súmulas, decisões)</w:t>
      </w:r>
    </w:p>
    <w:p w14:paraId="75D14F02" w14:textId="77777777" w:rsidR="00C260B9" w:rsidRDefault="00000000">
      <w:pPr>
        <w:pStyle w:val="PensarReferncia"/>
        <w:spacing w:before="60" w:after="140"/>
      </w:pPr>
      <w:r>
        <w:rPr>
          <w:i/>
          <w:iCs/>
          <w:color w:val="000000"/>
        </w:rPr>
        <w:t>Indicar a jurisdição, o órgão julgador, o tipo e o número da decisão, a ementa (ou o assunto), o relator, a data do julgamento e os dados da publicação (ABNT NBR 6023:2018).</w:t>
      </w:r>
    </w:p>
    <w:p w14:paraId="79D1003A" w14:textId="77777777" w:rsidR="00C260B9" w:rsidRDefault="00000000">
      <w:pPr>
        <w:pStyle w:val="PensarReferncia"/>
      </w:pPr>
      <w:r>
        <w:rPr>
          <w:color w:val="000000"/>
        </w:rPr>
        <w:t xml:space="preserve">BRASIL. Supremo Tribunal Federal (Plenário). </w:t>
      </w:r>
      <w:r>
        <w:rPr>
          <w:b/>
          <w:bCs/>
          <w:color w:val="000000"/>
        </w:rPr>
        <w:t>Recurso Extraordinário 1.055.941/SP</w:t>
      </w:r>
      <w:r>
        <w:rPr>
          <w:color w:val="000000"/>
        </w:rPr>
        <w:t xml:space="preserve">. Compartilhamento com o Ministério Público de dados bancários e fiscais obtidos pela administração tributária. Relator: Min. Dias Toffoli, 4 de dezembro de 2019. </w:t>
      </w:r>
      <w:r>
        <w:rPr>
          <w:b/>
          <w:bCs/>
          <w:color w:val="000000"/>
        </w:rPr>
        <w:t>Diário de Justiça Eletrônico</w:t>
      </w:r>
      <w:r>
        <w:rPr>
          <w:color w:val="000000"/>
        </w:rPr>
        <w:t>, Brasília, DF, 6 out. 2020. Disponível em: https://portal.stf.jus.br. Acesso em: 17 jul. 2026.</w:t>
      </w:r>
    </w:p>
    <w:p w14:paraId="62029EB0" w14:textId="77777777" w:rsidR="00C260B9" w:rsidRDefault="00000000">
      <w:pPr>
        <w:pStyle w:val="PensarReferncia"/>
      </w:pPr>
      <w:r>
        <w:rPr>
          <w:color w:val="000000"/>
        </w:rPr>
        <w:t xml:space="preserve">BRASIL. Supremo Tribunal Federal. </w:t>
      </w:r>
      <w:r>
        <w:rPr>
          <w:b/>
          <w:bCs/>
          <w:color w:val="000000"/>
        </w:rPr>
        <w:t>Súmula Vinculante nº 11</w:t>
      </w:r>
      <w:r>
        <w:rPr>
          <w:color w:val="000000"/>
        </w:rPr>
        <w:t>. Só é lícito o uso de algemas em casos de resistência e de fundado receio de fuga ou de perigo à integridade física própria ou alheia. Brasília, DF: Supremo Tribunal Federal, 2008. Disponível em: https://portal.stf.jus.br. Acesso em: 17 jul. 2026.</w:t>
      </w:r>
    </w:p>
    <w:p w14:paraId="198EBC40" w14:textId="77777777" w:rsidR="00C260B9" w:rsidRDefault="00000000">
      <w:pPr>
        <w:pStyle w:val="PensarReferncia"/>
      </w:pPr>
      <w:r>
        <w:rPr>
          <w:color w:val="000000"/>
        </w:rPr>
        <w:t xml:space="preserve">BRASIL. Superior Tribunal de Justiça. </w:t>
      </w:r>
      <w:r>
        <w:rPr>
          <w:b/>
          <w:bCs/>
          <w:color w:val="000000"/>
        </w:rPr>
        <w:t>Súmula nº 297</w:t>
      </w:r>
      <w:r>
        <w:rPr>
          <w:color w:val="000000"/>
        </w:rPr>
        <w:t>. O Código de Defesa do Consumidor é aplicável às instituições financeiras. Brasília, DF: Superior Tribunal de Justiça, 2004. Disponível em: https://www.stj.jus.br. Acesso em: 17 jul. 2026.</w:t>
      </w:r>
    </w:p>
    <w:p w14:paraId="13D8B5D3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Legislação e jurisprudência estrangeira e internacional</w:t>
      </w:r>
    </w:p>
    <w:p w14:paraId="7BC41992" w14:textId="77777777" w:rsidR="00C260B9" w:rsidRDefault="00000000">
      <w:pPr>
        <w:pStyle w:val="PensarReferncia"/>
      </w:pPr>
      <w:r>
        <w:rPr>
          <w:color w:val="000000"/>
        </w:rPr>
        <w:t xml:space="preserve">CORTE INTERAMERICANA DE DIREITOS HUMANOS. </w:t>
      </w:r>
      <w:r>
        <w:rPr>
          <w:b/>
          <w:bCs/>
          <w:color w:val="000000"/>
        </w:rPr>
        <w:t xml:space="preserve">Caso Gomes </w:t>
      </w:r>
      <w:proofErr w:type="spellStart"/>
      <w:r>
        <w:rPr>
          <w:b/>
          <w:bCs/>
          <w:color w:val="000000"/>
        </w:rPr>
        <w:t>Lund</w:t>
      </w:r>
      <w:proofErr w:type="spellEnd"/>
      <w:r>
        <w:rPr>
          <w:b/>
          <w:bCs/>
          <w:color w:val="000000"/>
        </w:rPr>
        <w:t xml:space="preserve"> e outros </w:t>
      </w:r>
      <w:r>
        <w:rPr>
          <w:b/>
          <w:bCs/>
          <w:color w:val="000000"/>
        </w:rPr>
        <w:lastRenderedPageBreak/>
        <w:t>(“Guerrilha do Araguaia”) vs. Brasil</w:t>
      </w:r>
      <w:r>
        <w:rPr>
          <w:color w:val="000000"/>
        </w:rPr>
        <w:t>. Exceções preliminares, mérito, reparações e custas. Sentença de 24 de novembro de 2010. Série C, n. 219. Disponível em: https://www.corteidh.or.cr. Acesso em: 17 jul. 2026.</w:t>
      </w:r>
    </w:p>
    <w:p w14:paraId="2D15DF8A" w14:textId="55D05E2D" w:rsidR="00C260B9" w:rsidRDefault="00000000">
      <w:pPr>
        <w:pStyle w:val="PensarReferncia"/>
      </w:pPr>
      <w:r>
        <w:rPr>
          <w:color w:val="000000"/>
        </w:rPr>
        <w:t xml:space="preserve">UNIÃO EUROPEIA. </w:t>
      </w:r>
      <w:r>
        <w:rPr>
          <w:b/>
          <w:bCs/>
          <w:color w:val="000000"/>
        </w:rPr>
        <w:t>Regulamento (UE) 2016/679 do Parlamento Europeu e do Conselho, de 27 de abril de 2016</w:t>
      </w:r>
      <w:r>
        <w:rPr>
          <w:color w:val="000000"/>
        </w:rPr>
        <w:t xml:space="preserve">. Regulamento Geral sobre a Proteção de Dados. </w:t>
      </w:r>
      <w:r>
        <w:rPr>
          <w:b/>
          <w:bCs/>
          <w:color w:val="000000"/>
        </w:rPr>
        <w:t>Jornal Oficial da União Europeia</w:t>
      </w:r>
      <w:r>
        <w:rPr>
          <w:color w:val="000000"/>
        </w:rPr>
        <w:t>, L 119, p. 1-88, 4 maio 20</w:t>
      </w:r>
      <w:r w:rsidR="007C25BB">
        <w:rPr>
          <w:color w:val="000000"/>
        </w:rPr>
        <w:t>2</w:t>
      </w:r>
      <w:r>
        <w:rPr>
          <w:color w:val="000000"/>
        </w:rPr>
        <w:t>6.</w:t>
      </w:r>
    </w:p>
    <w:p w14:paraId="3B2D8162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Eventos (congressos, encontros etc.)</w:t>
      </w:r>
    </w:p>
    <w:p w14:paraId="5BC954AE" w14:textId="77777777" w:rsidR="00C260B9" w:rsidRDefault="00000000">
      <w:pPr>
        <w:pStyle w:val="PensarReferncia"/>
      </w:pPr>
      <w:r>
        <w:rPr>
          <w:color w:val="000000"/>
        </w:rPr>
        <w:t xml:space="preserve">SOBRENOME, N. N. Título do trabalho apresentado. In: CONGRESSO NACIONAL DO CONPEDI, 30., 2023, Fortaleza. </w:t>
      </w:r>
      <w:r>
        <w:rPr>
          <w:b/>
          <w:bCs/>
          <w:color w:val="000000"/>
        </w:rPr>
        <w:t>Anais</w:t>
      </w:r>
      <w:r>
        <w:rPr>
          <w:color w:val="000000"/>
        </w:rPr>
        <w:t xml:space="preserve"> [...]. Florianópolis: CONPEDI, 2023. p. 16-29.</w:t>
      </w:r>
    </w:p>
    <w:p w14:paraId="55C28D5F" w14:textId="77777777" w:rsidR="00C260B9" w:rsidRDefault="00000000">
      <w:pPr>
        <w:pStyle w:val="PensarTtulo2"/>
        <w:spacing w:before="300" w:after="140" w:line="240" w:lineRule="auto"/>
      </w:pPr>
      <w:r>
        <w:rPr>
          <w:color w:val="000000"/>
        </w:rPr>
        <w:t>Textos obtidos em meios eletrônicos</w:t>
      </w:r>
    </w:p>
    <w:p w14:paraId="23B66083" w14:textId="77777777" w:rsidR="00C260B9" w:rsidRDefault="00000000">
      <w:pPr>
        <w:pStyle w:val="PensarReferncia"/>
      </w:pPr>
      <w:r>
        <w:rPr>
          <w:color w:val="000000"/>
        </w:rPr>
        <w:t xml:space="preserve">SOBRENOME, N. N. Título do texto. </w:t>
      </w:r>
      <w:r>
        <w:rPr>
          <w:b/>
          <w:bCs/>
          <w:color w:val="000000"/>
        </w:rPr>
        <w:t>Nome do sítio</w:t>
      </w:r>
      <w:r>
        <w:rPr>
          <w:color w:val="000000"/>
        </w:rPr>
        <w:t>, cidade, 12 mar. 2025. Disponível em: https://www.exemplo.org/texto. Acesso em: 17 jul. 2026.</w:t>
      </w:r>
    </w:p>
    <w:sectPr w:rsidR="00C260B9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BB3C13" w14:textId="77777777" w:rsidR="00D47D6A" w:rsidRDefault="00D47D6A">
      <w:pPr>
        <w:spacing w:after="0" w:line="240" w:lineRule="auto"/>
      </w:pPr>
      <w:r>
        <w:separator/>
      </w:r>
    </w:p>
  </w:endnote>
  <w:endnote w:type="continuationSeparator" w:id="0">
    <w:p w14:paraId="3BF25E84" w14:textId="77777777" w:rsidR="00D47D6A" w:rsidRDefault="00D4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panose1 w:val="020B0604020202020204"/>
    <w:charset w:val="01"/>
    <w:family w:val="auto"/>
    <w:pitch w:val="variable"/>
  </w:font>
  <w:font w:name="F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Linux Libertine G">
    <w:altName w:val="Cambria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57ABEE" w14:textId="77777777" w:rsidR="00C260B9" w:rsidRDefault="00000000">
    <w:pPr>
      <w:widowControl/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5" behindDoc="0" locked="0" layoutInCell="0" allowOverlap="1" wp14:anchorId="55A2EEC9" wp14:editId="66AF66D7">
          <wp:simplePos x="0" y="0"/>
          <wp:positionH relativeFrom="column">
            <wp:posOffset>47625</wp:posOffset>
          </wp:positionH>
          <wp:positionV relativeFrom="paragraph">
            <wp:posOffset>65405</wp:posOffset>
          </wp:positionV>
          <wp:extent cx="704850" cy="243840"/>
          <wp:effectExtent l="0" t="0" r="0" b="0"/>
          <wp:wrapSquare wrapText="bothSides"/>
          <wp:docPr id="7" name="Imagem 4" descr="Entendendo as licenças Creative Commons (CC) • Designe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4" descr="Entendendo as licenças Creative Commons (CC) • Designe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6B7D29" w14:textId="77777777" w:rsidR="00C260B9" w:rsidRDefault="00000000">
    <w:pPr>
      <w:widowControl/>
      <w:tabs>
        <w:tab w:val="center" w:pos="4252"/>
        <w:tab w:val="right" w:pos="8504"/>
      </w:tabs>
      <w:spacing w:after="0" w:line="240" w:lineRule="auto"/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Pensar, Fortaleza, v. XX,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eXXX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>, 2026.</w:t>
    </w:r>
  </w:p>
  <w:p w14:paraId="37AD7479" w14:textId="77777777" w:rsidR="00C260B9" w:rsidRDefault="00000000">
    <w:pPr>
      <w:widowControl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45A1310" w14:textId="77777777" w:rsidR="00C260B9" w:rsidRDefault="00C260B9">
    <w:pPr>
      <w:widowControl/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2CEA2" w14:textId="77777777" w:rsidR="00C260B9" w:rsidRDefault="00000000">
    <w:pPr>
      <w:widowControl/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7" behindDoc="0" locked="0" layoutInCell="0" allowOverlap="1" wp14:anchorId="72092D6E" wp14:editId="6520C14E">
          <wp:simplePos x="0" y="0"/>
          <wp:positionH relativeFrom="column">
            <wp:posOffset>47625</wp:posOffset>
          </wp:positionH>
          <wp:positionV relativeFrom="paragraph">
            <wp:posOffset>65405</wp:posOffset>
          </wp:positionV>
          <wp:extent cx="704850" cy="243840"/>
          <wp:effectExtent l="0" t="0" r="0" b="0"/>
          <wp:wrapSquare wrapText="bothSides"/>
          <wp:docPr id="8" name="Imagem 3" descr="Entendendo as licenças Creative Commons (CC) • Designe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3" descr="Entendendo as licenças Creative Commons (CC) • Designe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3DF81D" w14:textId="77777777" w:rsidR="00C260B9" w:rsidRDefault="00000000">
    <w:pPr>
      <w:widowControl/>
      <w:tabs>
        <w:tab w:val="center" w:pos="4252"/>
        <w:tab w:val="right" w:pos="8504"/>
      </w:tabs>
      <w:spacing w:after="0" w:line="240" w:lineRule="auto"/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Pensar, Fortaleza, v. XX,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eXXX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>, 2026.</w:t>
    </w:r>
  </w:p>
  <w:p w14:paraId="19645385" w14:textId="77777777" w:rsidR="00C260B9" w:rsidRDefault="00000000">
    <w:pPr>
      <w:widowControl/>
      <w:tabs>
        <w:tab w:val="center" w:pos="4252"/>
        <w:tab w:val="right" w:pos="8504"/>
      </w:tabs>
      <w:spacing w:after="0" w:line="240" w:lineRule="auto"/>
      <w:jc w:val="right"/>
    </w:pPr>
    <w:r>
      <w:rPr>
        <w:color w:val="000000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226333" w14:textId="77777777" w:rsidR="00D47D6A" w:rsidRDefault="00D47D6A">
      <w:pPr>
        <w:rPr>
          <w:sz w:val="12"/>
        </w:rPr>
      </w:pPr>
      <w:r>
        <w:separator/>
      </w:r>
    </w:p>
  </w:footnote>
  <w:footnote w:type="continuationSeparator" w:id="0">
    <w:p w14:paraId="7155627F" w14:textId="77777777" w:rsidR="00D47D6A" w:rsidRDefault="00D47D6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F81E" w14:textId="476FBDD6" w:rsidR="00C260B9" w:rsidRDefault="00A859F6">
    <w:pPr>
      <w:widowControl/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b/>
        <w:noProof/>
        <w:color w:val="000000"/>
        <w:sz w:val="36"/>
        <w:szCs w:val="36"/>
      </w:rPr>
      <w:drawing>
        <wp:inline distT="0" distB="0" distL="0" distR="0" wp14:anchorId="24D29123" wp14:editId="3D16AFC0">
          <wp:extent cx="6028055" cy="1141095"/>
          <wp:effectExtent l="0" t="0" r="0" b="0"/>
          <wp:docPr id="1" name="image2.png" descr="Tela de computador com texto preto sobre fundo azul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la de computador com texto preto sobre fundo azul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578" b="2578"/>
                  <a:stretch>
                    <a:fillRect/>
                  </a:stretch>
                </pic:blipFill>
                <pic:spPr bwMode="auto">
                  <a:xfrm>
                    <a:off x="0" y="0"/>
                    <a:ext cx="6028055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175C96"/>
    <w:multiLevelType w:val="multilevel"/>
    <w:tmpl w:val="72D82BFE"/>
    <w:lvl w:ilvl="0">
      <w:start w:val="1"/>
      <w:numFmt w:val="none"/>
      <w:pStyle w:val="Ttu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2537084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0B9"/>
    <w:rsid w:val="007A44C6"/>
    <w:rsid w:val="007C25BB"/>
    <w:rsid w:val="00A859F6"/>
    <w:rsid w:val="00BC0B13"/>
    <w:rsid w:val="00C260B9"/>
    <w:rsid w:val="00D47D6A"/>
    <w:rsid w:val="00F5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E4FD3"/>
  <w15:docId w15:val="{D58898CB-5CFF-2949-8DD0-9AF742F9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160" w:line="254" w:lineRule="auto"/>
    </w:pPr>
  </w:style>
  <w:style w:type="paragraph" w:styleId="Ttulo1">
    <w:name w:val="heading 1"/>
    <w:basedOn w:val="Normal1"/>
    <w:next w:val="Normal"/>
    <w:uiPriority w:val="9"/>
    <w:qFormat/>
    <w:pPr>
      <w:keepNext/>
      <w:keepLines/>
      <w:numPr>
        <w:numId w:val="1"/>
      </w:numP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1"/>
    <w:next w:val="Normal"/>
    <w:uiPriority w:val="9"/>
    <w:semiHidden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1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1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1"/>
    <w:next w:val="Normal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color w:val="0F4761"/>
    </w:rPr>
  </w:style>
  <w:style w:type="paragraph" w:styleId="Ttulo6">
    <w:name w:val="heading 6"/>
    <w:basedOn w:val="Normal1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1"/>
    <w:next w:val="Normal"/>
    <w:qFormat/>
    <w:pPr>
      <w:keepNext/>
      <w:keepLines/>
      <w:numPr>
        <w:ilvl w:val="6"/>
        <w:numId w:val="1"/>
      </w:numPr>
      <w:spacing w:before="40"/>
      <w:outlineLvl w:val="6"/>
    </w:pPr>
    <w:rPr>
      <w:rFonts w:eastAsia="F" w:cs="F"/>
      <w:color w:val="595959"/>
    </w:rPr>
  </w:style>
  <w:style w:type="paragraph" w:styleId="Ttulo8">
    <w:name w:val="heading 8"/>
    <w:basedOn w:val="Normal1"/>
    <w:next w:val="Normal"/>
    <w:qFormat/>
    <w:pPr>
      <w:keepNext/>
      <w:keepLines/>
      <w:numPr>
        <w:ilvl w:val="7"/>
        <w:numId w:val="1"/>
      </w:numPr>
      <w:outlineLvl w:val="7"/>
    </w:pPr>
    <w:rPr>
      <w:rFonts w:eastAsia="F" w:cs="F"/>
      <w:i/>
      <w:iCs/>
      <w:color w:val="272727"/>
    </w:rPr>
  </w:style>
  <w:style w:type="paragraph" w:styleId="Ttulo9">
    <w:name w:val="heading 9"/>
    <w:basedOn w:val="Normal1"/>
    <w:next w:val="Normal"/>
    <w:qFormat/>
    <w:pPr>
      <w:keepNext/>
      <w:keepLines/>
      <w:numPr>
        <w:ilvl w:val="8"/>
        <w:numId w:val="1"/>
      </w:numPr>
      <w:outlineLvl w:val="8"/>
    </w:pPr>
    <w:rPr>
      <w:rFonts w:eastAsia="F" w:cs="F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qFormat/>
    <w:rPr>
      <w:rFonts w:ascii="Aptos Display" w:eastAsia="F" w:hAnsi="Aptos Display" w:cs="F"/>
      <w:color w:val="0F4761"/>
      <w:sz w:val="40"/>
      <w:szCs w:val="40"/>
    </w:rPr>
  </w:style>
  <w:style w:type="character" w:customStyle="1" w:styleId="Ttulo2Char">
    <w:name w:val="Título 2 Char"/>
    <w:basedOn w:val="Fontepargpadro"/>
    <w:qFormat/>
    <w:rPr>
      <w:rFonts w:ascii="Aptos Display" w:eastAsia="F" w:hAnsi="Aptos Display" w:cs="F"/>
      <w:color w:val="0F4761"/>
      <w:sz w:val="32"/>
      <w:szCs w:val="32"/>
    </w:rPr>
  </w:style>
  <w:style w:type="character" w:customStyle="1" w:styleId="Ttulo3Char">
    <w:name w:val="Título 3 Char"/>
    <w:basedOn w:val="Fontepargpadro"/>
    <w:qFormat/>
    <w:rPr>
      <w:rFonts w:eastAsia="F" w:cs="F"/>
      <w:color w:val="0F4761"/>
      <w:sz w:val="28"/>
      <w:szCs w:val="28"/>
    </w:rPr>
  </w:style>
  <w:style w:type="character" w:customStyle="1" w:styleId="Ttulo4Char">
    <w:name w:val="Título 4 Char"/>
    <w:basedOn w:val="Fontepargpadro"/>
    <w:qFormat/>
    <w:rPr>
      <w:rFonts w:eastAsia="F" w:cs="F"/>
      <w:i/>
      <w:iCs/>
      <w:color w:val="0F4761"/>
    </w:rPr>
  </w:style>
  <w:style w:type="character" w:customStyle="1" w:styleId="Ttulo5Char">
    <w:name w:val="Título 5 Char"/>
    <w:basedOn w:val="Fontepargpadro"/>
    <w:qFormat/>
    <w:rPr>
      <w:rFonts w:eastAsia="F" w:cs="F"/>
      <w:color w:val="0F4761"/>
    </w:rPr>
  </w:style>
  <w:style w:type="character" w:customStyle="1" w:styleId="Ttulo6Char">
    <w:name w:val="Título 6 Char"/>
    <w:basedOn w:val="Fontepargpadro"/>
    <w:qFormat/>
    <w:rPr>
      <w:rFonts w:eastAsia="F" w:cs="F"/>
      <w:i/>
      <w:iCs/>
      <w:color w:val="595959"/>
    </w:rPr>
  </w:style>
  <w:style w:type="character" w:customStyle="1" w:styleId="Ttulo7Char">
    <w:name w:val="Título 7 Char"/>
    <w:basedOn w:val="Fontepargpadro"/>
    <w:qFormat/>
    <w:rPr>
      <w:rFonts w:eastAsia="F" w:cs="F"/>
      <w:color w:val="595959"/>
    </w:rPr>
  </w:style>
  <w:style w:type="character" w:customStyle="1" w:styleId="Ttulo8Char">
    <w:name w:val="Título 8 Char"/>
    <w:basedOn w:val="Fontepargpadro"/>
    <w:qFormat/>
    <w:rPr>
      <w:rFonts w:eastAsia="F" w:cs="F"/>
      <w:i/>
      <w:iCs/>
      <w:color w:val="272727"/>
    </w:rPr>
  </w:style>
  <w:style w:type="character" w:customStyle="1" w:styleId="Ttulo9Char">
    <w:name w:val="Título 9 Char"/>
    <w:basedOn w:val="Fontepargpadro"/>
    <w:qFormat/>
    <w:rPr>
      <w:rFonts w:eastAsia="F" w:cs="F"/>
      <w:color w:val="272727"/>
    </w:rPr>
  </w:style>
  <w:style w:type="character" w:customStyle="1" w:styleId="TtuloChar">
    <w:name w:val="Título Char"/>
    <w:basedOn w:val="Fontepargpadro"/>
    <w:qFormat/>
    <w:rPr>
      <w:rFonts w:ascii="Aptos Display" w:eastAsia="F" w:hAnsi="Aptos Display" w:cs="F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qFormat/>
    <w:rPr>
      <w:rFonts w:eastAsia="F" w:cs="F"/>
      <w:color w:val="595959"/>
      <w:spacing w:val="15"/>
      <w:sz w:val="28"/>
      <w:szCs w:val="28"/>
    </w:rPr>
  </w:style>
  <w:style w:type="character" w:customStyle="1" w:styleId="CitaoChar">
    <w:name w:val="Citação Char"/>
    <w:basedOn w:val="Fontepargpadro"/>
    <w:qFormat/>
    <w:rPr>
      <w:i/>
      <w:iCs/>
      <w:color w:val="404040"/>
    </w:rPr>
  </w:style>
  <w:style w:type="character" w:styleId="nfaseIntensa">
    <w:name w:val="Intense Emphasis"/>
    <w:basedOn w:val="Fontepargpadro"/>
    <w:qFormat/>
    <w:rPr>
      <w:i/>
      <w:iCs/>
      <w:color w:val="0F4761"/>
    </w:rPr>
  </w:style>
  <w:style w:type="character" w:customStyle="1" w:styleId="CitaoIntensaChar">
    <w:name w:val="Citação Intensa Char"/>
    <w:basedOn w:val="Fontepargpadro"/>
    <w:qFormat/>
    <w:rPr>
      <w:i/>
      <w:iCs/>
      <w:color w:val="0F4761"/>
    </w:rPr>
  </w:style>
  <w:style w:type="character" w:styleId="RefernciaIntensa">
    <w:name w:val="Intense Reference"/>
    <w:basedOn w:val="Fontepargpadro"/>
    <w:qFormat/>
    <w:rPr>
      <w:b/>
      <w:bCs/>
      <w:smallCaps/>
      <w:color w:val="0F4761"/>
      <w:spacing w:val="5"/>
    </w:rPr>
  </w:style>
  <w:style w:type="character" w:customStyle="1" w:styleId="CabealhoChar">
    <w:name w:val="Cabeçalho Char"/>
    <w:basedOn w:val="Fontepargpadro"/>
    <w:qFormat/>
  </w:style>
  <w:style w:type="character" w:customStyle="1" w:styleId="RodapChar">
    <w:name w:val="Rodapé Char"/>
    <w:basedOn w:val="Fontepargpadro"/>
    <w:qFormat/>
  </w:style>
  <w:style w:type="character" w:customStyle="1" w:styleId="TextodenotaderodapChar">
    <w:name w:val="Texto de nota de rodapé Char"/>
    <w:basedOn w:val="Fontepargpadro"/>
    <w:qFormat/>
    <w:rPr>
      <w:sz w:val="20"/>
      <w:szCs w:val="20"/>
    </w:rPr>
  </w:style>
  <w:style w:type="character" w:customStyle="1" w:styleId="FootnoteCharacters">
    <w:name w:val="Footnote Characters"/>
    <w:basedOn w:val="Fontepargpadro"/>
    <w:qFormat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styleId="Hyperlink">
    <w:name w:val="Hyperlink"/>
    <w:basedOn w:val="Fontepargpadro"/>
    <w:rPr>
      <w:color w:val="467886"/>
      <w:u w:val="single"/>
    </w:rPr>
  </w:style>
  <w:style w:type="character" w:customStyle="1" w:styleId="CorpodetextoChar">
    <w:name w:val="Corpo de texto Char"/>
    <w:basedOn w:val="Fontepargpadro"/>
    <w:qFormat/>
    <w:rPr>
      <w:rFonts w:ascii="Arial" w:eastAsia="F" w:hAnsi="Arial" w:cs="Arial"/>
      <w:kern w:val="0"/>
      <w:sz w:val="20"/>
      <w:szCs w:val="20"/>
      <w:lang w:eastAsia="pt-BR"/>
    </w:rPr>
  </w:style>
  <w:style w:type="character" w:styleId="Refdenotaderodap">
    <w:name w:val="footnote reference"/>
    <w:basedOn w:val="Fontepargpadro"/>
    <w:rPr>
      <w:vertAlign w:val="superscript"/>
    </w:rPr>
  </w:style>
  <w:style w:type="character" w:customStyle="1" w:styleId="FootnoteCharacters1">
    <w:name w:val="Footnote Characters1"/>
    <w:qFormat/>
  </w:style>
  <w:style w:type="character" w:styleId="Refdenotadefim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Normal1">
    <w:name w:val="Normal1"/>
    <w:qFormat/>
    <w:pPr>
      <w:suppressAutoHyphens/>
    </w:p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detexto">
    <w:name w:val="Body Text"/>
    <w:basedOn w:val="Normal1"/>
    <w:pPr>
      <w:widowControl w:val="0"/>
      <w:ind w:left="103"/>
    </w:pPr>
    <w:rPr>
      <w:rFonts w:ascii="Arial" w:eastAsia="F" w:hAnsi="Arial" w:cs="Arial"/>
      <w:sz w:val="20"/>
      <w:szCs w:val="20"/>
      <w:lang w:eastAsia="pt-BR"/>
    </w:rPr>
  </w:style>
  <w:style w:type="paragraph" w:styleId="Lista">
    <w:name w:val="List"/>
    <w:basedOn w:val="Corpodetexto"/>
    <w:qFormat/>
    <w:rPr>
      <w:sz w:val="24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sz w:val="24"/>
    </w:rPr>
  </w:style>
  <w:style w:type="paragraph" w:styleId="Ttulo">
    <w:name w:val="Title"/>
    <w:basedOn w:val="Normal1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Citao">
    <w:name w:val="Quote"/>
    <w:basedOn w:val="Normal1"/>
    <w:next w:val="Normal"/>
    <w:qFormat/>
    <w:pPr>
      <w:spacing w:before="160"/>
      <w:jc w:val="center"/>
    </w:pPr>
    <w:rPr>
      <w:i/>
      <w:iCs/>
      <w:color w:val="404040"/>
    </w:rPr>
  </w:style>
  <w:style w:type="paragraph" w:styleId="PargrafodaLista">
    <w:name w:val="List Paragraph"/>
    <w:basedOn w:val="Normal1"/>
    <w:qFormat/>
    <w:pPr>
      <w:ind w:left="720"/>
    </w:pPr>
  </w:style>
  <w:style w:type="paragraph" w:styleId="CitaoIntensa">
    <w:name w:val="Intense Quote"/>
    <w:basedOn w:val="Normal1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  <w:style w:type="paragraph" w:styleId="Textodenotaderodap">
    <w:name w:val="footnote text"/>
    <w:basedOn w:val="Normal1"/>
    <w:rPr>
      <w:sz w:val="20"/>
      <w:szCs w:val="20"/>
    </w:rPr>
  </w:style>
  <w:style w:type="paragraph" w:styleId="Subttulo">
    <w:name w:val="Subtitle"/>
    <w:basedOn w:val="Normal1"/>
    <w:next w:val="Normal"/>
    <w:uiPriority w:val="11"/>
    <w:qFormat/>
    <w:rPr>
      <w:color w:val="595959"/>
      <w:sz w:val="28"/>
      <w:szCs w:val="28"/>
    </w:rPr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PensarTtulodoArtigo">
    <w:name w:val="Pensar Título do Artigo"/>
    <w:basedOn w:val="Normal"/>
    <w:next w:val="PensarAutor"/>
    <w:uiPriority w:val="1"/>
    <w:qFormat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ensarAutor">
    <w:name w:val="Pensar Autor"/>
    <w:basedOn w:val="Normal"/>
    <w:next w:val="PensarCorpo"/>
    <w:uiPriority w:val="1"/>
    <w:qFormat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ensarResumo">
    <w:name w:val="Pensar Resumo"/>
    <w:basedOn w:val="Normal"/>
    <w:next w:val="PensarCorpo"/>
    <w:uiPriority w:val="1"/>
    <w:qFormat/>
    <w:pPr>
      <w:spacing w:before="60" w:after="1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ensarTtulo1">
    <w:name w:val="Pensar Título 1"/>
    <w:basedOn w:val="Normal"/>
    <w:next w:val="PensarCorpo"/>
    <w:uiPriority w:val="1"/>
    <w:qFormat/>
    <w:pPr>
      <w:keepNext/>
      <w:spacing w:before="120" w:after="12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ensarTtulo2">
    <w:name w:val="Pensar Título 2"/>
    <w:basedOn w:val="Normal"/>
    <w:next w:val="PensarCorpo"/>
    <w:uiPriority w:val="1"/>
    <w:qFormat/>
    <w:pPr>
      <w:keepNext/>
      <w:spacing w:before="120" w:after="120" w:line="36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PensarCorpo">
    <w:name w:val="Pensar Corpo"/>
    <w:basedOn w:val="Normal"/>
    <w:uiPriority w:val="1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nsarCitaoLonga">
    <w:name w:val="Pensar Citação Longa"/>
    <w:basedOn w:val="Normal"/>
    <w:next w:val="PensarCorpo"/>
    <w:uiPriority w:val="1"/>
    <w:qFormat/>
    <w:pPr>
      <w:spacing w:before="120" w:after="120" w:line="240" w:lineRule="auto"/>
      <w:ind w:left="226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ensarLegenda">
    <w:name w:val="Pensar Legenda"/>
    <w:basedOn w:val="Normal"/>
    <w:next w:val="PensarFontedaIlustrao"/>
    <w:uiPriority w:val="1"/>
    <w:qFormat/>
    <w:pPr>
      <w:keepNext/>
      <w:spacing w:before="120" w:after="6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nsarFontedaIlustrao">
    <w:name w:val="Pensar Fonte da Ilustração"/>
    <w:basedOn w:val="Normal"/>
    <w:next w:val="PensarCorpo"/>
    <w:uiPriority w:val="1"/>
    <w:qFormat/>
    <w:pPr>
      <w:spacing w:before="60" w:after="12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ensarReferncia">
    <w:name w:val="Pensar Referência"/>
    <w:basedOn w:val="Normal"/>
    <w:uiPriority w:val="1"/>
    <w:qFormat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nsarInstruoapagar">
    <w:name w:val="Pensar Instrução (apagar)"/>
    <w:basedOn w:val="Normal"/>
    <w:next w:val="PensarCorpo"/>
    <w:uiPriority w:val="1"/>
    <w:qFormat/>
    <w:pPr>
      <w:spacing w:before="60" w:after="60" w:line="240" w:lineRule="auto"/>
    </w:pPr>
    <w:rPr>
      <w:rFonts w:ascii="Times New Roman" w:eastAsia="Times New Roman" w:hAnsi="Times New Roman" w:cs="Times New Roman"/>
      <w:i/>
      <w:iCs/>
      <w:color w:val="80808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859F6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1775</Words>
  <Characters>9589</Characters>
  <Application>Microsoft Office Word</Application>
  <DocSecurity>0</DocSecurity>
  <Lines>79</Lines>
  <Paragraphs>22</Paragraphs>
  <ScaleCrop>false</ScaleCrop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Sidney Filho</cp:lastModifiedBy>
  <cp:revision>3</cp:revision>
  <dcterms:created xsi:type="dcterms:W3CDTF">2026-07-17T17:41:00Z</dcterms:created>
  <dcterms:modified xsi:type="dcterms:W3CDTF">2026-08-06T13:45:00Z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2025-09-02T11:51:00Z</dcterms:created>
  <dc:creator>Elisângela Viana</dc:creator>
  <dc:description/>
  <dc:language>en-US</dc:language>
  <cp:lastModifiedBy>Sidney Filho</cp:lastModifiedBy>
  <dcterms:modified xsi:type="dcterms:W3CDTF">2026-07-17T17:14:00Z</dcterms:modified>
  <cp:revision>4</cp:revision>
  <dc:subject/>
  <dc:title/>
</cp:coreProperties>
</file>